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5006A7">
      <w:pPr>
        <w:spacing w:line="560" w:lineRule="exact"/>
        <w:jc w:val="center"/>
        <w:rPr>
          <w:bCs/>
          <w:sz w:val="32"/>
          <w:szCs w:val="32"/>
          <w:u w:val="single"/>
        </w:rPr>
      </w:pPr>
    </w:p>
    <w:p w14:paraId="7B4CB108">
      <w:pPr>
        <w:spacing w:line="560" w:lineRule="exact"/>
        <w:jc w:val="center"/>
        <w:rPr>
          <w:bCs/>
          <w:sz w:val="32"/>
          <w:szCs w:val="32"/>
          <w:u w:val="single"/>
        </w:rPr>
      </w:pPr>
    </w:p>
    <w:p w14:paraId="505AAC3D">
      <w:pPr>
        <w:spacing w:line="560" w:lineRule="exact"/>
        <w:jc w:val="center"/>
        <w:rPr>
          <w:bCs/>
          <w:sz w:val="32"/>
          <w:szCs w:val="32"/>
          <w:u w:val="single"/>
        </w:rPr>
      </w:pPr>
    </w:p>
    <w:p w14:paraId="469BB80D">
      <w:pPr>
        <w:spacing w:line="560" w:lineRule="exact"/>
        <w:jc w:val="both"/>
        <w:rPr>
          <w:b/>
          <w:sz w:val="44"/>
          <w:szCs w:val="44"/>
          <w:u w:val="single"/>
        </w:rPr>
      </w:pPr>
    </w:p>
    <w:p w14:paraId="055D258D">
      <w:pPr>
        <w:pStyle w:val="2"/>
      </w:pPr>
    </w:p>
    <w:p w14:paraId="646316E6">
      <w:pPr>
        <w:spacing w:line="560" w:lineRule="exact"/>
        <w:jc w:val="center"/>
        <w:rPr>
          <w:b/>
          <w:sz w:val="44"/>
          <w:szCs w:val="44"/>
          <w:u w:val="single"/>
        </w:rPr>
      </w:pPr>
    </w:p>
    <w:p w14:paraId="07D264A4">
      <w:pPr>
        <w:spacing w:line="560" w:lineRule="exact"/>
        <w:jc w:val="both"/>
        <w:rPr>
          <w:rFonts w:hint="eastAsia"/>
          <w:b/>
          <w:sz w:val="44"/>
          <w:szCs w:val="44"/>
        </w:rPr>
      </w:pPr>
    </w:p>
    <w:p w14:paraId="5589C038">
      <w:pPr>
        <w:spacing w:line="560" w:lineRule="exact"/>
        <w:jc w:val="center"/>
        <w:rPr>
          <w:rFonts w:hint="eastAsia"/>
          <w:b/>
          <w:sz w:val="44"/>
          <w:szCs w:val="44"/>
          <w:lang w:val="en-US" w:eastAsia="zh-CN"/>
        </w:rPr>
      </w:pPr>
      <w:r>
        <w:rPr>
          <w:rFonts w:hint="eastAsia"/>
          <w:b/>
          <w:sz w:val="44"/>
          <w:szCs w:val="44"/>
          <w:lang w:eastAsia="zh-CN"/>
        </w:rPr>
        <w:t>辽宁省盘锦市文化馆</w:t>
      </w:r>
      <w:r>
        <w:rPr>
          <w:rFonts w:hint="eastAsia"/>
          <w:b/>
          <w:sz w:val="44"/>
          <w:szCs w:val="44"/>
          <w:lang w:val="en-US" w:eastAsia="zh-CN"/>
        </w:rPr>
        <w:t>2025年度预算公开</w:t>
      </w:r>
    </w:p>
    <w:p w14:paraId="7AB574B0">
      <w:pPr>
        <w:spacing w:line="560" w:lineRule="exact"/>
        <w:jc w:val="center"/>
        <w:rPr>
          <w:rFonts w:hint="default" w:eastAsia="宋体"/>
          <w:b/>
          <w:sz w:val="44"/>
          <w:szCs w:val="44"/>
          <w:lang w:val="en-US" w:eastAsia="zh-CN"/>
        </w:rPr>
      </w:pPr>
      <w:r>
        <w:rPr>
          <w:rFonts w:hint="eastAsia"/>
          <w:b/>
          <w:sz w:val="44"/>
          <w:szCs w:val="44"/>
          <w:lang w:val="en-US" w:eastAsia="zh-CN"/>
        </w:rPr>
        <w:t>说明</w:t>
      </w:r>
    </w:p>
    <w:p w14:paraId="7BBA932D">
      <w:pPr>
        <w:spacing w:line="560" w:lineRule="exact"/>
        <w:jc w:val="center"/>
        <w:rPr>
          <w:rFonts w:hint="eastAsia"/>
          <w:b/>
          <w:sz w:val="44"/>
          <w:szCs w:val="44"/>
        </w:rPr>
      </w:pPr>
    </w:p>
    <w:p w14:paraId="13DDE4CC">
      <w:pPr>
        <w:spacing w:line="560" w:lineRule="exact"/>
        <w:jc w:val="center"/>
        <w:rPr>
          <w:rFonts w:hint="eastAsia"/>
          <w:b/>
          <w:sz w:val="44"/>
          <w:szCs w:val="44"/>
        </w:rPr>
      </w:pPr>
    </w:p>
    <w:p w14:paraId="7839FEFB">
      <w:pPr>
        <w:spacing w:line="560" w:lineRule="exact"/>
        <w:jc w:val="center"/>
        <w:rPr>
          <w:rFonts w:hint="eastAsia"/>
          <w:b/>
          <w:sz w:val="44"/>
          <w:szCs w:val="44"/>
        </w:rPr>
      </w:pPr>
    </w:p>
    <w:p w14:paraId="33707C22">
      <w:pPr>
        <w:spacing w:line="560" w:lineRule="exact"/>
        <w:jc w:val="center"/>
        <w:rPr>
          <w:rFonts w:hint="eastAsia"/>
          <w:b/>
          <w:sz w:val="44"/>
          <w:szCs w:val="44"/>
        </w:rPr>
      </w:pPr>
    </w:p>
    <w:p w14:paraId="34596E4F">
      <w:pPr>
        <w:spacing w:line="560" w:lineRule="exact"/>
        <w:jc w:val="center"/>
        <w:rPr>
          <w:rFonts w:hint="eastAsia"/>
          <w:b/>
          <w:sz w:val="44"/>
          <w:szCs w:val="44"/>
        </w:rPr>
      </w:pPr>
    </w:p>
    <w:p w14:paraId="05F2FFF2">
      <w:pPr>
        <w:spacing w:line="560" w:lineRule="exact"/>
        <w:jc w:val="center"/>
        <w:rPr>
          <w:rFonts w:hint="eastAsia"/>
          <w:b/>
          <w:sz w:val="44"/>
          <w:szCs w:val="44"/>
        </w:rPr>
      </w:pPr>
    </w:p>
    <w:p w14:paraId="182594B4">
      <w:pPr>
        <w:spacing w:line="560" w:lineRule="exact"/>
        <w:jc w:val="center"/>
        <w:rPr>
          <w:rFonts w:hint="eastAsia"/>
          <w:b/>
          <w:sz w:val="44"/>
          <w:szCs w:val="44"/>
        </w:rPr>
      </w:pPr>
    </w:p>
    <w:p w14:paraId="1EE63252">
      <w:pPr>
        <w:spacing w:line="560" w:lineRule="exact"/>
        <w:jc w:val="center"/>
        <w:rPr>
          <w:rFonts w:hint="eastAsia"/>
          <w:b/>
          <w:sz w:val="44"/>
          <w:szCs w:val="44"/>
        </w:rPr>
      </w:pPr>
    </w:p>
    <w:p w14:paraId="7E9CD492">
      <w:pPr>
        <w:spacing w:line="560" w:lineRule="exact"/>
        <w:jc w:val="center"/>
        <w:rPr>
          <w:rFonts w:hint="eastAsia"/>
          <w:b/>
          <w:sz w:val="44"/>
          <w:szCs w:val="44"/>
        </w:rPr>
      </w:pPr>
    </w:p>
    <w:p w14:paraId="71BA207B">
      <w:pPr>
        <w:spacing w:line="560" w:lineRule="exact"/>
        <w:jc w:val="center"/>
        <w:rPr>
          <w:rFonts w:hint="eastAsia"/>
          <w:b/>
          <w:sz w:val="44"/>
          <w:szCs w:val="44"/>
        </w:rPr>
      </w:pPr>
    </w:p>
    <w:p w14:paraId="1A33310C">
      <w:pPr>
        <w:spacing w:line="560" w:lineRule="exact"/>
        <w:jc w:val="center"/>
        <w:rPr>
          <w:rFonts w:hint="eastAsia"/>
          <w:b/>
          <w:sz w:val="44"/>
          <w:szCs w:val="44"/>
        </w:rPr>
      </w:pPr>
    </w:p>
    <w:p w14:paraId="68608D1B">
      <w:pPr>
        <w:spacing w:line="560" w:lineRule="exact"/>
        <w:jc w:val="center"/>
        <w:rPr>
          <w:rFonts w:hint="eastAsia"/>
          <w:b/>
          <w:sz w:val="44"/>
          <w:szCs w:val="44"/>
        </w:rPr>
      </w:pPr>
    </w:p>
    <w:p w14:paraId="01BA62A2">
      <w:pPr>
        <w:spacing w:line="560" w:lineRule="exact"/>
        <w:jc w:val="center"/>
        <w:rPr>
          <w:rFonts w:hint="eastAsia"/>
          <w:b/>
          <w:sz w:val="44"/>
          <w:szCs w:val="44"/>
        </w:rPr>
      </w:pPr>
    </w:p>
    <w:p w14:paraId="22844CAD">
      <w:pPr>
        <w:spacing w:line="560" w:lineRule="exact"/>
        <w:jc w:val="center"/>
        <w:rPr>
          <w:rFonts w:hint="eastAsia"/>
          <w:b/>
          <w:sz w:val="44"/>
          <w:szCs w:val="44"/>
        </w:rPr>
      </w:pPr>
    </w:p>
    <w:p w14:paraId="5CDD6521">
      <w:pPr>
        <w:spacing w:line="560" w:lineRule="exact"/>
        <w:jc w:val="center"/>
        <w:rPr>
          <w:rFonts w:hint="eastAsia"/>
          <w:b/>
          <w:sz w:val="44"/>
          <w:szCs w:val="44"/>
        </w:rPr>
      </w:pPr>
    </w:p>
    <w:p w14:paraId="57F3CE87">
      <w:pPr>
        <w:spacing w:line="560" w:lineRule="exact"/>
        <w:jc w:val="center"/>
        <w:rPr>
          <w:b/>
          <w:sz w:val="44"/>
          <w:szCs w:val="44"/>
        </w:rPr>
      </w:pPr>
      <w:r>
        <w:rPr>
          <w:rFonts w:hint="eastAsia"/>
          <w:b/>
          <w:sz w:val="44"/>
          <w:szCs w:val="44"/>
        </w:rPr>
        <w:t>目    录</w:t>
      </w:r>
    </w:p>
    <w:p w14:paraId="3A00DFA1">
      <w:pPr>
        <w:spacing w:line="560" w:lineRule="exact"/>
        <w:rPr>
          <w:b/>
          <w:sz w:val="44"/>
          <w:szCs w:val="44"/>
          <w:u w:val="single"/>
        </w:rPr>
      </w:pPr>
    </w:p>
    <w:p w14:paraId="40E63D70">
      <w:pPr>
        <w:spacing w:line="560" w:lineRule="exact"/>
        <w:rPr>
          <w:b/>
          <w:sz w:val="44"/>
          <w:szCs w:val="44"/>
          <w:u w:val="single"/>
        </w:rPr>
      </w:pPr>
    </w:p>
    <w:p w14:paraId="6A533323">
      <w:pPr>
        <w:spacing w:line="560" w:lineRule="exact"/>
        <w:rPr>
          <w:rFonts w:ascii="黑体" w:hAnsi="黑体" w:eastAsia="黑体"/>
          <w:sz w:val="32"/>
          <w:szCs w:val="32"/>
        </w:rPr>
      </w:pPr>
      <w:r>
        <w:rPr>
          <w:rFonts w:hint="eastAsia" w:ascii="黑体" w:hAnsi="黑体" w:eastAsia="黑体"/>
          <w:sz w:val="32"/>
          <w:szCs w:val="32"/>
        </w:rPr>
        <w:t>第一部分　　</w:t>
      </w:r>
      <w:r>
        <w:rPr>
          <w:rFonts w:hint="eastAsia" w:ascii="黑体" w:hAnsi="黑体" w:eastAsia="黑体"/>
          <w:sz w:val="32"/>
          <w:szCs w:val="32"/>
          <w:lang w:eastAsia="zh-CN"/>
        </w:rPr>
        <w:t>辽宁省盘锦市文化馆</w:t>
      </w:r>
      <w:r>
        <w:rPr>
          <w:rFonts w:hint="eastAsia" w:ascii="黑体" w:hAnsi="黑体" w:eastAsia="黑体"/>
          <w:sz w:val="32"/>
          <w:szCs w:val="32"/>
        </w:rPr>
        <w:t>预算公开管理文件</w:t>
      </w:r>
    </w:p>
    <w:p w14:paraId="2A240A41">
      <w:pPr>
        <w:spacing w:line="560" w:lineRule="exact"/>
        <w:rPr>
          <w:rFonts w:ascii="黑体" w:hAnsi="黑体" w:eastAsia="黑体"/>
          <w:sz w:val="32"/>
          <w:szCs w:val="32"/>
        </w:rPr>
      </w:pPr>
      <w:r>
        <w:rPr>
          <w:rFonts w:hint="eastAsia" w:ascii="黑体" w:hAnsi="黑体" w:eastAsia="黑体"/>
          <w:sz w:val="32"/>
          <w:szCs w:val="32"/>
        </w:rPr>
        <w:t>第二部分    辽宁省</w:t>
      </w:r>
      <w:r>
        <w:rPr>
          <w:rFonts w:hint="eastAsia" w:ascii="黑体" w:hAnsi="黑体" w:eastAsia="黑体"/>
          <w:sz w:val="32"/>
          <w:szCs w:val="32"/>
          <w:lang w:eastAsia="zh-CN"/>
        </w:rPr>
        <w:t>盘锦市文化馆</w:t>
      </w:r>
      <w:r>
        <w:rPr>
          <w:rFonts w:hint="eastAsia" w:ascii="黑体" w:hAnsi="黑体" w:eastAsia="黑体"/>
          <w:sz w:val="32"/>
          <w:szCs w:val="32"/>
        </w:rPr>
        <w:t>概况</w:t>
      </w:r>
    </w:p>
    <w:p w14:paraId="22BEFF64">
      <w:pPr>
        <w:spacing w:line="560" w:lineRule="exact"/>
        <w:ind w:firstLine="646" w:firstLineChars="200"/>
        <w:rPr>
          <w:rFonts w:ascii="仿宋_GB2312" w:hAnsi="黑体" w:eastAsia="仿宋_GB2312"/>
          <w:sz w:val="32"/>
          <w:szCs w:val="32"/>
        </w:rPr>
      </w:pPr>
      <w:r>
        <w:rPr>
          <w:rFonts w:hint="eastAsia" w:ascii="仿宋_GB2312" w:hAnsi="黑体" w:eastAsia="仿宋_GB2312"/>
          <w:sz w:val="32"/>
          <w:szCs w:val="32"/>
        </w:rPr>
        <w:t>一、</w:t>
      </w:r>
      <w:r>
        <w:rPr>
          <w:rFonts w:hint="eastAsia" w:ascii="仿宋_GB2312" w:hAnsi="黑体" w:eastAsia="仿宋_GB2312"/>
          <w:sz w:val="32"/>
          <w:szCs w:val="32"/>
          <w:lang w:eastAsia="zh-CN"/>
        </w:rPr>
        <w:t>单位</w:t>
      </w:r>
      <w:r>
        <w:rPr>
          <w:rFonts w:hint="eastAsia" w:ascii="仿宋_GB2312" w:hAnsi="黑体" w:eastAsia="仿宋_GB2312"/>
          <w:sz w:val="32"/>
          <w:szCs w:val="32"/>
        </w:rPr>
        <w:t>职责</w:t>
      </w:r>
    </w:p>
    <w:p w14:paraId="4EF63ABB">
      <w:pPr>
        <w:spacing w:line="560" w:lineRule="exact"/>
        <w:ind w:firstLine="646" w:firstLineChars="200"/>
        <w:rPr>
          <w:rFonts w:ascii="仿宋_GB2312" w:hAnsi="黑体" w:eastAsia="仿宋_GB2312"/>
          <w:sz w:val="32"/>
          <w:szCs w:val="32"/>
        </w:rPr>
      </w:pPr>
      <w:r>
        <w:rPr>
          <w:rFonts w:hint="eastAsia" w:ascii="仿宋_GB2312" w:hAnsi="黑体" w:eastAsia="仿宋_GB2312"/>
          <w:sz w:val="32"/>
          <w:szCs w:val="32"/>
        </w:rPr>
        <w:t>二、机构设置</w:t>
      </w:r>
    </w:p>
    <w:p w14:paraId="0F74F01A">
      <w:pPr>
        <w:spacing w:line="560" w:lineRule="exact"/>
        <w:rPr>
          <w:rFonts w:ascii="黑体" w:hAnsi="黑体" w:eastAsia="黑体"/>
          <w:sz w:val="32"/>
          <w:szCs w:val="32"/>
        </w:rPr>
      </w:pPr>
      <w:r>
        <w:rPr>
          <w:rFonts w:hint="eastAsia" w:ascii="黑体" w:hAnsi="黑体" w:eastAsia="黑体"/>
          <w:sz w:val="32"/>
          <w:szCs w:val="32"/>
        </w:rPr>
        <w:t>第三部分    辽宁省</w:t>
      </w:r>
      <w:r>
        <w:rPr>
          <w:rFonts w:hint="eastAsia" w:ascii="黑体" w:hAnsi="黑体" w:eastAsia="黑体"/>
          <w:sz w:val="32"/>
          <w:szCs w:val="32"/>
          <w:lang w:eastAsia="zh-CN"/>
        </w:rPr>
        <w:t>盘锦市文化馆</w:t>
      </w:r>
      <w:r>
        <w:rPr>
          <w:rFonts w:hint="eastAsia" w:ascii="黑体" w:hAnsi="黑体" w:eastAsia="黑体"/>
          <w:sz w:val="32"/>
          <w:szCs w:val="32"/>
          <w:lang w:val="en-US" w:eastAsia="zh-CN"/>
        </w:rPr>
        <w:t>2025</w:t>
      </w:r>
      <w:r>
        <w:rPr>
          <w:rFonts w:hint="eastAsia" w:ascii="黑体" w:hAnsi="黑体" w:eastAsia="黑体"/>
          <w:sz w:val="32"/>
          <w:szCs w:val="32"/>
        </w:rPr>
        <w:t>年预算情况说明</w:t>
      </w:r>
    </w:p>
    <w:p w14:paraId="77DD439F">
      <w:pPr>
        <w:spacing w:line="560" w:lineRule="exact"/>
        <w:rPr>
          <w:rFonts w:ascii="黑体" w:hAnsi="黑体" w:eastAsia="黑体"/>
          <w:sz w:val="32"/>
          <w:szCs w:val="32"/>
        </w:rPr>
      </w:pPr>
      <w:r>
        <w:rPr>
          <w:rFonts w:hint="eastAsia" w:ascii="黑体" w:hAnsi="黑体" w:eastAsia="黑体"/>
          <w:sz w:val="32"/>
          <w:szCs w:val="32"/>
        </w:rPr>
        <w:t>第四部分    名词解释</w:t>
      </w:r>
    </w:p>
    <w:p w14:paraId="491CAE2B">
      <w:pPr>
        <w:spacing w:line="560" w:lineRule="exact"/>
        <w:rPr>
          <w:rFonts w:ascii="黑体" w:hAnsi="黑体" w:eastAsia="黑体"/>
          <w:sz w:val="32"/>
          <w:szCs w:val="32"/>
        </w:rPr>
      </w:pPr>
      <w:r>
        <w:rPr>
          <w:rFonts w:hint="eastAsia" w:ascii="黑体" w:hAnsi="黑体" w:eastAsia="黑体"/>
          <w:sz w:val="32"/>
          <w:szCs w:val="32"/>
        </w:rPr>
        <w:t xml:space="preserve">第五部分    </w:t>
      </w:r>
      <w:r>
        <w:rPr>
          <w:rFonts w:hint="eastAsia" w:ascii="黑体" w:hAnsi="黑体" w:eastAsia="黑体"/>
          <w:sz w:val="32"/>
          <w:szCs w:val="32"/>
          <w:lang w:val="en-US" w:eastAsia="zh-CN"/>
        </w:rPr>
        <w:t>2025</w:t>
      </w:r>
      <w:r>
        <w:rPr>
          <w:rFonts w:hint="eastAsia" w:ascii="黑体" w:hAnsi="黑体" w:eastAsia="黑体"/>
          <w:sz w:val="32"/>
          <w:szCs w:val="32"/>
        </w:rPr>
        <w:t>年辽宁省</w:t>
      </w:r>
      <w:r>
        <w:rPr>
          <w:rFonts w:hint="eastAsia" w:ascii="黑体" w:hAnsi="黑体" w:eastAsia="黑体"/>
          <w:sz w:val="32"/>
          <w:szCs w:val="32"/>
          <w:lang w:eastAsia="zh-CN"/>
        </w:rPr>
        <w:t>盘锦市文化馆</w:t>
      </w:r>
      <w:r>
        <w:rPr>
          <w:rFonts w:hint="eastAsia" w:ascii="黑体" w:hAnsi="黑体" w:eastAsia="黑体"/>
          <w:sz w:val="32"/>
          <w:szCs w:val="32"/>
        </w:rPr>
        <w:t>预算</w:t>
      </w:r>
      <w:r>
        <w:rPr>
          <w:rFonts w:hint="eastAsia" w:ascii="黑体" w:hAnsi="黑体" w:eastAsia="黑体"/>
          <w:sz w:val="32"/>
          <w:szCs w:val="32"/>
          <w:lang w:eastAsia="zh-CN"/>
        </w:rPr>
        <w:t>公开</w:t>
      </w:r>
      <w:r>
        <w:rPr>
          <w:rFonts w:hint="eastAsia" w:ascii="黑体" w:hAnsi="黑体" w:eastAsia="黑体"/>
          <w:sz w:val="32"/>
          <w:szCs w:val="32"/>
        </w:rPr>
        <w:t>表</w:t>
      </w:r>
    </w:p>
    <w:p w14:paraId="75E1B732">
      <w:pPr>
        <w:numPr>
          <w:ilvl w:val="0"/>
          <w:numId w:val="0"/>
        </w:numPr>
        <w:spacing w:line="560" w:lineRule="exact"/>
        <w:ind w:left="540" w:leftChars="0"/>
        <w:rPr>
          <w:rFonts w:ascii="仿宋_GB2312" w:hAnsi="黑体" w:eastAsia="仿宋_GB2312"/>
          <w:sz w:val="32"/>
          <w:szCs w:val="32"/>
        </w:rPr>
      </w:pPr>
      <w:r>
        <w:rPr>
          <w:rFonts w:hint="eastAsia" w:ascii="仿宋_GB2312" w:hAnsi="黑体" w:eastAsia="仿宋_GB2312"/>
          <w:sz w:val="32"/>
          <w:szCs w:val="32"/>
          <w:lang w:eastAsia="zh-CN"/>
        </w:rPr>
        <w:t>一、</w:t>
      </w:r>
      <w:r>
        <w:rPr>
          <w:rFonts w:hint="eastAsia" w:ascii="仿宋_GB2312" w:hAnsi="黑体" w:eastAsia="仿宋_GB2312"/>
          <w:sz w:val="32"/>
          <w:szCs w:val="32"/>
        </w:rPr>
        <w:t>收支预算总表</w:t>
      </w:r>
    </w:p>
    <w:p w14:paraId="0662FA19">
      <w:pPr>
        <w:numPr>
          <w:ilvl w:val="0"/>
          <w:numId w:val="0"/>
        </w:numPr>
        <w:spacing w:line="560" w:lineRule="exact"/>
        <w:ind w:left="540" w:leftChars="0"/>
        <w:rPr>
          <w:rFonts w:ascii="仿宋_GB2312" w:hAnsi="黑体" w:eastAsia="仿宋_GB2312"/>
          <w:sz w:val="32"/>
          <w:szCs w:val="32"/>
        </w:rPr>
      </w:pPr>
      <w:r>
        <w:rPr>
          <w:rFonts w:hint="eastAsia" w:ascii="仿宋_GB2312" w:hAnsi="黑体" w:eastAsia="仿宋_GB2312"/>
          <w:sz w:val="32"/>
          <w:szCs w:val="32"/>
          <w:lang w:eastAsia="zh-CN"/>
        </w:rPr>
        <w:t>二、</w:t>
      </w:r>
      <w:r>
        <w:rPr>
          <w:rFonts w:hint="eastAsia" w:ascii="仿宋_GB2312" w:hAnsi="黑体" w:eastAsia="仿宋_GB2312"/>
          <w:sz w:val="32"/>
          <w:szCs w:val="32"/>
        </w:rPr>
        <w:t>收入预算总表</w:t>
      </w:r>
    </w:p>
    <w:p w14:paraId="199C0D57">
      <w:pPr>
        <w:numPr>
          <w:ilvl w:val="0"/>
          <w:numId w:val="0"/>
        </w:numPr>
        <w:spacing w:line="560" w:lineRule="exact"/>
        <w:ind w:left="540" w:leftChars="0"/>
        <w:rPr>
          <w:rFonts w:ascii="仿宋_GB2312" w:hAnsi="黑体" w:eastAsia="仿宋_GB2312"/>
          <w:sz w:val="32"/>
          <w:szCs w:val="32"/>
        </w:rPr>
      </w:pPr>
      <w:r>
        <w:rPr>
          <w:rFonts w:hint="eastAsia" w:ascii="仿宋_GB2312" w:hAnsi="黑体" w:eastAsia="仿宋_GB2312"/>
          <w:sz w:val="32"/>
          <w:szCs w:val="32"/>
          <w:lang w:eastAsia="zh-CN"/>
        </w:rPr>
        <w:t>三、</w:t>
      </w:r>
      <w:r>
        <w:rPr>
          <w:rFonts w:hint="eastAsia" w:ascii="仿宋_GB2312" w:hAnsi="黑体" w:eastAsia="仿宋_GB2312"/>
          <w:sz w:val="32"/>
          <w:szCs w:val="32"/>
        </w:rPr>
        <w:t>支出预算总表</w:t>
      </w:r>
    </w:p>
    <w:p w14:paraId="22A54ADE">
      <w:pPr>
        <w:numPr>
          <w:ilvl w:val="0"/>
          <w:numId w:val="0"/>
        </w:numPr>
        <w:spacing w:line="560" w:lineRule="exact"/>
        <w:ind w:left="540" w:leftChars="0"/>
        <w:rPr>
          <w:rFonts w:ascii="仿宋_GB2312" w:hAnsi="黑体" w:eastAsia="仿宋_GB2312"/>
          <w:sz w:val="32"/>
          <w:szCs w:val="32"/>
        </w:rPr>
      </w:pPr>
      <w:r>
        <w:rPr>
          <w:rFonts w:hint="eastAsia" w:ascii="仿宋_GB2312" w:hAnsi="黑体" w:eastAsia="仿宋_GB2312"/>
          <w:sz w:val="32"/>
          <w:szCs w:val="32"/>
          <w:lang w:eastAsia="zh-CN"/>
        </w:rPr>
        <w:t>四、</w:t>
      </w:r>
      <w:r>
        <w:rPr>
          <w:rFonts w:hint="eastAsia" w:ascii="仿宋_GB2312" w:hAnsi="黑体" w:eastAsia="仿宋_GB2312"/>
          <w:sz w:val="32"/>
          <w:szCs w:val="32"/>
        </w:rPr>
        <w:t>财政拨款收支预算总表</w:t>
      </w:r>
    </w:p>
    <w:p w14:paraId="2B8ABA8D">
      <w:pPr>
        <w:numPr>
          <w:ilvl w:val="0"/>
          <w:numId w:val="0"/>
        </w:numPr>
        <w:spacing w:line="560" w:lineRule="exact"/>
        <w:ind w:left="540" w:leftChars="0"/>
        <w:rPr>
          <w:rFonts w:ascii="仿宋_GB2312" w:hAnsi="黑体" w:eastAsia="仿宋_GB2312"/>
          <w:sz w:val="32"/>
          <w:szCs w:val="32"/>
        </w:rPr>
      </w:pPr>
      <w:r>
        <w:rPr>
          <w:rFonts w:hint="eastAsia" w:ascii="仿宋_GB2312" w:hAnsi="黑体" w:eastAsia="仿宋_GB2312"/>
          <w:sz w:val="32"/>
          <w:szCs w:val="32"/>
          <w:lang w:eastAsia="zh-CN"/>
        </w:rPr>
        <w:t>五、</w:t>
      </w:r>
      <w:r>
        <w:rPr>
          <w:rFonts w:hint="eastAsia" w:ascii="仿宋_GB2312" w:hAnsi="黑体" w:eastAsia="仿宋_GB2312"/>
          <w:sz w:val="32"/>
          <w:szCs w:val="32"/>
        </w:rPr>
        <w:t>一般公共预算支出表</w:t>
      </w:r>
    </w:p>
    <w:p w14:paraId="393E9880">
      <w:pPr>
        <w:numPr>
          <w:ilvl w:val="0"/>
          <w:numId w:val="0"/>
        </w:numPr>
        <w:spacing w:line="560" w:lineRule="exact"/>
        <w:ind w:left="540" w:leftChars="0"/>
        <w:rPr>
          <w:rFonts w:ascii="仿宋_GB2312" w:hAnsi="黑体" w:eastAsia="仿宋_GB2312"/>
          <w:sz w:val="32"/>
          <w:szCs w:val="32"/>
        </w:rPr>
      </w:pPr>
      <w:r>
        <w:rPr>
          <w:rFonts w:hint="eastAsia" w:ascii="仿宋_GB2312" w:hAnsi="黑体" w:eastAsia="仿宋_GB2312"/>
          <w:sz w:val="32"/>
          <w:szCs w:val="32"/>
          <w:lang w:eastAsia="zh-CN"/>
        </w:rPr>
        <w:t>六、</w:t>
      </w:r>
      <w:r>
        <w:rPr>
          <w:rFonts w:hint="eastAsia" w:ascii="仿宋_GB2312" w:hAnsi="黑体" w:eastAsia="仿宋_GB2312"/>
          <w:sz w:val="32"/>
          <w:szCs w:val="32"/>
        </w:rPr>
        <w:t>一般公共预算基本支出表</w:t>
      </w:r>
    </w:p>
    <w:p w14:paraId="1A1603B3">
      <w:pPr>
        <w:numPr>
          <w:ilvl w:val="0"/>
          <w:numId w:val="0"/>
        </w:numPr>
        <w:spacing w:line="560" w:lineRule="exact"/>
        <w:ind w:left="540" w:leftChars="0"/>
        <w:rPr>
          <w:rFonts w:ascii="仿宋_GB2312" w:hAnsi="黑体" w:eastAsia="仿宋_GB2312"/>
          <w:sz w:val="32"/>
          <w:szCs w:val="32"/>
        </w:rPr>
      </w:pPr>
      <w:r>
        <w:rPr>
          <w:rFonts w:hint="eastAsia" w:ascii="仿宋_GB2312" w:hAnsi="黑体" w:eastAsia="仿宋_GB2312"/>
          <w:sz w:val="32"/>
          <w:szCs w:val="32"/>
          <w:lang w:eastAsia="zh-CN"/>
        </w:rPr>
        <w:t>七、财政拨款</w:t>
      </w:r>
      <w:r>
        <w:rPr>
          <w:rFonts w:hint="eastAsia" w:ascii="仿宋_GB2312" w:hAnsi="黑体" w:eastAsia="仿宋_GB2312"/>
          <w:sz w:val="32"/>
          <w:szCs w:val="32"/>
        </w:rPr>
        <w:t>预算“三公”经费支出表</w:t>
      </w:r>
    </w:p>
    <w:p w14:paraId="3104011C">
      <w:pPr>
        <w:numPr>
          <w:ilvl w:val="0"/>
          <w:numId w:val="1"/>
        </w:numPr>
        <w:tabs>
          <w:tab w:val="left" w:pos="1260"/>
        </w:tabs>
        <w:spacing w:line="560" w:lineRule="exact"/>
        <w:ind w:left="540"/>
        <w:rPr>
          <w:rFonts w:ascii="仿宋_GB2312" w:hAnsi="宋体" w:eastAsia="仿宋_GB2312" w:cs="宋体"/>
          <w:sz w:val="32"/>
          <w:szCs w:val="32"/>
        </w:rPr>
      </w:pPr>
      <w:r>
        <w:rPr>
          <w:rFonts w:hint="eastAsia" w:ascii="仿宋_GB2312" w:hAnsi="宋体" w:eastAsia="仿宋_GB2312" w:cs="宋体"/>
          <w:sz w:val="32"/>
          <w:szCs w:val="32"/>
        </w:rPr>
        <w:t>政府性基金预算支出表</w:t>
      </w:r>
    </w:p>
    <w:p w14:paraId="6B701BFA">
      <w:pPr>
        <w:numPr>
          <w:ilvl w:val="0"/>
          <w:numId w:val="1"/>
        </w:numPr>
        <w:tabs>
          <w:tab w:val="left" w:pos="1260"/>
        </w:tabs>
        <w:spacing w:line="560" w:lineRule="exact"/>
        <w:ind w:left="540"/>
        <w:rPr>
          <w:rFonts w:ascii="仿宋_GB2312" w:hAnsi="黑体" w:eastAsia="仿宋_GB2312"/>
          <w:sz w:val="32"/>
          <w:szCs w:val="32"/>
        </w:rPr>
      </w:pPr>
      <w:r>
        <w:rPr>
          <w:rFonts w:hint="eastAsia" w:ascii="仿宋_GB2312" w:hAnsi="黑体" w:eastAsia="仿宋_GB2312"/>
          <w:sz w:val="32"/>
          <w:szCs w:val="32"/>
        </w:rPr>
        <w:t>项目支出预算表</w:t>
      </w:r>
    </w:p>
    <w:p w14:paraId="17B6EB04">
      <w:pPr>
        <w:numPr>
          <w:ilvl w:val="0"/>
          <w:numId w:val="1"/>
        </w:numPr>
        <w:tabs>
          <w:tab w:val="left" w:pos="1260"/>
        </w:tabs>
        <w:spacing w:line="560" w:lineRule="exact"/>
        <w:ind w:left="540"/>
        <w:rPr>
          <w:rFonts w:ascii="仿宋_GB2312" w:hAnsi="黑体" w:eastAsia="仿宋_GB2312"/>
          <w:sz w:val="32"/>
          <w:szCs w:val="32"/>
        </w:rPr>
      </w:pPr>
      <w:r>
        <w:rPr>
          <w:rFonts w:hint="eastAsia" w:ascii="仿宋_GB2312" w:hAnsi="黑体" w:eastAsia="仿宋_GB2312"/>
          <w:sz w:val="32"/>
          <w:szCs w:val="32"/>
        </w:rPr>
        <w:t>支出功能分类预算表</w:t>
      </w:r>
    </w:p>
    <w:p w14:paraId="37CBBCDC">
      <w:pPr>
        <w:numPr>
          <w:ilvl w:val="0"/>
          <w:numId w:val="1"/>
        </w:numPr>
        <w:tabs>
          <w:tab w:val="left" w:pos="1260"/>
        </w:tabs>
        <w:spacing w:line="560" w:lineRule="exact"/>
        <w:ind w:left="540"/>
        <w:rPr>
          <w:rFonts w:ascii="仿宋_GB2312" w:hAnsi="黑体" w:eastAsia="仿宋_GB2312"/>
          <w:sz w:val="32"/>
          <w:szCs w:val="32"/>
        </w:rPr>
      </w:pPr>
      <w:r>
        <w:rPr>
          <w:rFonts w:hint="eastAsia" w:ascii="仿宋_GB2312" w:hAnsi="黑体" w:eastAsia="仿宋_GB2312"/>
          <w:sz w:val="32"/>
          <w:szCs w:val="32"/>
        </w:rPr>
        <w:t>支出经济分类预算表（政府预算）</w:t>
      </w:r>
    </w:p>
    <w:p w14:paraId="0D420448">
      <w:pPr>
        <w:numPr>
          <w:ilvl w:val="0"/>
          <w:numId w:val="1"/>
        </w:numPr>
        <w:tabs>
          <w:tab w:val="left" w:pos="1260"/>
        </w:tabs>
        <w:spacing w:line="560" w:lineRule="exact"/>
        <w:ind w:left="540"/>
        <w:rPr>
          <w:rFonts w:ascii="仿宋_GB2312" w:hAnsi="黑体" w:eastAsia="仿宋_GB2312"/>
          <w:sz w:val="32"/>
          <w:szCs w:val="32"/>
        </w:rPr>
      </w:pPr>
      <w:r>
        <w:rPr>
          <w:rFonts w:hint="eastAsia" w:ascii="仿宋_GB2312" w:hAnsi="黑体" w:eastAsia="仿宋_GB2312"/>
          <w:sz w:val="32"/>
          <w:szCs w:val="32"/>
        </w:rPr>
        <w:t>支出经济分类预算表（部门预算）</w:t>
      </w:r>
    </w:p>
    <w:p w14:paraId="044E039C">
      <w:pPr>
        <w:numPr>
          <w:ilvl w:val="0"/>
          <w:numId w:val="1"/>
        </w:numPr>
        <w:tabs>
          <w:tab w:val="left" w:pos="1260"/>
        </w:tabs>
        <w:spacing w:line="560" w:lineRule="exact"/>
        <w:ind w:left="540"/>
        <w:rPr>
          <w:rFonts w:ascii="仿宋_GB2312" w:hAnsi="黑体" w:eastAsia="仿宋_GB2312"/>
          <w:sz w:val="32"/>
          <w:szCs w:val="32"/>
        </w:rPr>
      </w:pPr>
      <w:r>
        <w:rPr>
          <w:rFonts w:hint="eastAsia" w:ascii="仿宋_GB2312" w:hAnsi="黑体" w:eastAsia="仿宋_GB2312"/>
          <w:sz w:val="32"/>
          <w:szCs w:val="32"/>
        </w:rPr>
        <w:t>债务支出预算表</w:t>
      </w:r>
    </w:p>
    <w:p w14:paraId="743344C2">
      <w:pPr>
        <w:numPr>
          <w:ilvl w:val="0"/>
          <w:numId w:val="1"/>
        </w:numPr>
        <w:tabs>
          <w:tab w:val="left" w:pos="1260"/>
        </w:tabs>
        <w:spacing w:line="560" w:lineRule="exact"/>
        <w:ind w:left="540"/>
        <w:rPr>
          <w:rFonts w:ascii="仿宋_GB2312" w:hAnsi="黑体" w:eastAsia="仿宋_GB2312"/>
          <w:sz w:val="32"/>
          <w:szCs w:val="32"/>
        </w:rPr>
      </w:pPr>
      <w:r>
        <w:rPr>
          <w:rFonts w:hint="eastAsia" w:ascii="仿宋_GB2312" w:hAnsi="黑体" w:eastAsia="仿宋_GB2312"/>
          <w:sz w:val="32"/>
          <w:szCs w:val="32"/>
        </w:rPr>
        <w:t>政府采购支出预算表</w:t>
      </w:r>
    </w:p>
    <w:p w14:paraId="5AC96727">
      <w:pPr>
        <w:numPr>
          <w:ilvl w:val="0"/>
          <w:numId w:val="1"/>
        </w:numPr>
        <w:tabs>
          <w:tab w:val="left" w:pos="1260"/>
        </w:tabs>
        <w:spacing w:line="560" w:lineRule="exact"/>
        <w:ind w:left="540"/>
        <w:rPr>
          <w:rFonts w:ascii="仿宋_GB2312" w:hAnsi="黑体" w:eastAsia="仿宋_GB2312"/>
          <w:sz w:val="32"/>
          <w:szCs w:val="32"/>
        </w:rPr>
      </w:pPr>
      <w:r>
        <w:rPr>
          <w:rFonts w:hint="eastAsia" w:ascii="仿宋_GB2312" w:hAnsi="黑体" w:eastAsia="仿宋_GB2312"/>
          <w:sz w:val="32"/>
          <w:szCs w:val="32"/>
        </w:rPr>
        <w:t>政府购买服务支出预算表</w:t>
      </w:r>
    </w:p>
    <w:p w14:paraId="0D1D5EE7">
      <w:pPr>
        <w:numPr>
          <w:ilvl w:val="0"/>
          <w:numId w:val="1"/>
        </w:numPr>
        <w:tabs>
          <w:tab w:val="left" w:pos="1260"/>
        </w:tabs>
        <w:spacing w:line="560" w:lineRule="exact"/>
        <w:ind w:left="540"/>
        <w:rPr>
          <w:rFonts w:ascii="仿宋_GB2312" w:hAnsi="黑体" w:eastAsia="仿宋_GB2312"/>
          <w:sz w:val="32"/>
          <w:szCs w:val="32"/>
        </w:rPr>
      </w:pPr>
      <w:r>
        <w:rPr>
          <w:rFonts w:hint="eastAsia" w:ascii="仿宋_GB2312" w:hAnsi="黑体" w:eastAsia="仿宋_GB2312"/>
          <w:sz w:val="32"/>
          <w:szCs w:val="32"/>
        </w:rPr>
        <w:t>部门（单位）整体绩效目标表</w:t>
      </w:r>
    </w:p>
    <w:p w14:paraId="6F55966A">
      <w:pPr>
        <w:numPr>
          <w:ilvl w:val="0"/>
          <w:numId w:val="1"/>
        </w:numPr>
        <w:tabs>
          <w:tab w:val="left" w:pos="1260"/>
        </w:tabs>
        <w:spacing w:line="560" w:lineRule="exact"/>
        <w:ind w:left="540"/>
        <w:rPr>
          <w:rFonts w:ascii="仿宋_GB2312" w:hAnsi="黑体" w:eastAsia="仿宋_GB2312"/>
          <w:sz w:val="32"/>
          <w:szCs w:val="32"/>
        </w:rPr>
      </w:pPr>
      <w:r>
        <w:rPr>
          <w:rFonts w:hint="eastAsia" w:ascii="仿宋_GB2312" w:hAnsi="黑体" w:eastAsia="仿宋_GB2312"/>
          <w:sz w:val="32"/>
          <w:szCs w:val="32"/>
        </w:rPr>
        <w:t>部门预算项目（政策）绩效目标表</w:t>
      </w:r>
    </w:p>
    <w:p w14:paraId="28A1DF4A">
      <w:pPr>
        <w:numPr>
          <w:ilvl w:val="0"/>
          <w:numId w:val="1"/>
        </w:numPr>
        <w:tabs>
          <w:tab w:val="left" w:pos="1260"/>
        </w:tabs>
        <w:spacing w:line="560" w:lineRule="exact"/>
        <w:ind w:left="540"/>
        <w:rPr>
          <w:rFonts w:ascii="仿宋_GB2312" w:hAnsi="黑体" w:eastAsia="仿宋_GB2312"/>
          <w:sz w:val="32"/>
          <w:szCs w:val="32"/>
        </w:rPr>
      </w:pPr>
      <w:r>
        <w:rPr>
          <w:rFonts w:hint="eastAsia" w:ascii="仿宋_GB2312" w:hAnsi="黑体" w:eastAsia="仿宋_GB2312"/>
          <w:sz w:val="32"/>
          <w:szCs w:val="32"/>
        </w:rPr>
        <w:t>部门管理专项资金预算表</w:t>
      </w:r>
    </w:p>
    <w:p w14:paraId="475378EA">
      <w:pPr>
        <w:spacing w:line="560" w:lineRule="exact"/>
        <w:rPr>
          <w:rFonts w:ascii="黑体" w:hAnsi="黑体" w:eastAsia="黑体"/>
          <w:sz w:val="32"/>
          <w:szCs w:val="32"/>
        </w:rPr>
      </w:pPr>
      <w:r>
        <w:rPr>
          <w:rFonts w:hint="eastAsia" w:ascii="黑体" w:hAnsi="黑体" w:eastAsia="黑体"/>
          <w:sz w:val="32"/>
          <w:szCs w:val="32"/>
        </w:rPr>
        <w:t>　</w:t>
      </w:r>
    </w:p>
    <w:p w14:paraId="2C2B543B">
      <w:pPr>
        <w:spacing w:line="560" w:lineRule="exact"/>
        <w:rPr>
          <w:rFonts w:ascii="黑体" w:hAnsi="黑体" w:eastAsia="黑体"/>
          <w:sz w:val="32"/>
          <w:szCs w:val="32"/>
        </w:rPr>
      </w:pPr>
    </w:p>
    <w:p w14:paraId="0C8E7C68">
      <w:pPr>
        <w:spacing w:line="560" w:lineRule="exact"/>
        <w:rPr>
          <w:rFonts w:ascii="黑体" w:hAnsi="黑体" w:eastAsia="黑体"/>
          <w:sz w:val="32"/>
          <w:szCs w:val="32"/>
        </w:rPr>
      </w:pPr>
    </w:p>
    <w:p w14:paraId="67D758CA">
      <w:pPr>
        <w:spacing w:line="560" w:lineRule="exact"/>
        <w:rPr>
          <w:rFonts w:ascii="宋体" w:hAnsi="宋体"/>
          <w:b/>
          <w:sz w:val="36"/>
          <w:szCs w:val="36"/>
        </w:rPr>
      </w:pPr>
    </w:p>
    <w:p w14:paraId="5E6BEA11">
      <w:pPr>
        <w:spacing w:line="560" w:lineRule="exact"/>
        <w:rPr>
          <w:rFonts w:ascii="宋体" w:hAnsi="宋体"/>
          <w:b/>
          <w:sz w:val="36"/>
          <w:szCs w:val="36"/>
        </w:rPr>
      </w:pPr>
    </w:p>
    <w:p w14:paraId="7441341F">
      <w:pPr>
        <w:spacing w:line="560" w:lineRule="exact"/>
        <w:jc w:val="center"/>
        <w:rPr>
          <w:rFonts w:ascii="宋体" w:hAnsi="宋体"/>
          <w:b/>
          <w:sz w:val="36"/>
          <w:szCs w:val="36"/>
        </w:rPr>
      </w:pPr>
    </w:p>
    <w:p w14:paraId="1B7042E4">
      <w:pPr>
        <w:spacing w:line="560" w:lineRule="exact"/>
        <w:jc w:val="center"/>
        <w:rPr>
          <w:rFonts w:ascii="宋体" w:hAnsi="宋体"/>
          <w:b/>
          <w:sz w:val="36"/>
          <w:szCs w:val="36"/>
        </w:rPr>
      </w:pPr>
    </w:p>
    <w:p w14:paraId="13BD6AF6">
      <w:pPr>
        <w:spacing w:line="560" w:lineRule="exact"/>
        <w:jc w:val="center"/>
        <w:rPr>
          <w:rFonts w:ascii="宋体" w:hAnsi="宋体"/>
          <w:b/>
          <w:sz w:val="36"/>
          <w:szCs w:val="36"/>
        </w:rPr>
      </w:pPr>
    </w:p>
    <w:p w14:paraId="0C3384B3">
      <w:pPr>
        <w:spacing w:line="560" w:lineRule="exact"/>
        <w:jc w:val="center"/>
        <w:rPr>
          <w:rFonts w:ascii="宋体" w:hAnsi="宋体"/>
          <w:b/>
          <w:sz w:val="36"/>
          <w:szCs w:val="36"/>
        </w:rPr>
      </w:pPr>
    </w:p>
    <w:p w14:paraId="6A15C8FB">
      <w:pPr>
        <w:spacing w:line="560" w:lineRule="exact"/>
        <w:jc w:val="center"/>
        <w:rPr>
          <w:rFonts w:ascii="宋体" w:hAnsi="宋体"/>
          <w:b/>
          <w:sz w:val="36"/>
          <w:szCs w:val="36"/>
        </w:rPr>
      </w:pPr>
    </w:p>
    <w:p w14:paraId="458E0DCB">
      <w:pPr>
        <w:spacing w:line="560" w:lineRule="exact"/>
        <w:jc w:val="center"/>
        <w:rPr>
          <w:rFonts w:ascii="宋体" w:hAnsi="宋体"/>
          <w:b/>
          <w:sz w:val="36"/>
          <w:szCs w:val="36"/>
        </w:rPr>
      </w:pPr>
    </w:p>
    <w:p w14:paraId="0CB02881">
      <w:pPr>
        <w:spacing w:line="560" w:lineRule="exact"/>
        <w:jc w:val="center"/>
        <w:rPr>
          <w:rFonts w:ascii="宋体" w:hAnsi="宋体"/>
          <w:b/>
          <w:sz w:val="36"/>
          <w:szCs w:val="36"/>
        </w:rPr>
      </w:pPr>
    </w:p>
    <w:p w14:paraId="3DFA298C">
      <w:pPr>
        <w:spacing w:line="560" w:lineRule="exact"/>
        <w:jc w:val="center"/>
        <w:rPr>
          <w:rFonts w:ascii="宋体" w:hAnsi="宋体"/>
          <w:b/>
          <w:sz w:val="36"/>
          <w:szCs w:val="36"/>
        </w:rPr>
      </w:pPr>
    </w:p>
    <w:p w14:paraId="07760484">
      <w:pPr>
        <w:spacing w:line="560" w:lineRule="exact"/>
        <w:jc w:val="center"/>
        <w:rPr>
          <w:rFonts w:ascii="宋体" w:hAnsi="宋体"/>
          <w:b/>
          <w:sz w:val="36"/>
          <w:szCs w:val="36"/>
        </w:rPr>
      </w:pPr>
    </w:p>
    <w:p w14:paraId="478715D5">
      <w:pPr>
        <w:spacing w:line="560" w:lineRule="exact"/>
        <w:jc w:val="center"/>
        <w:rPr>
          <w:rFonts w:ascii="宋体" w:hAnsi="宋体"/>
          <w:b/>
          <w:sz w:val="36"/>
          <w:szCs w:val="36"/>
        </w:rPr>
      </w:pPr>
    </w:p>
    <w:p w14:paraId="560616E3">
      <w:pPr>
        <w:spacing w:line="560" w:lineRule="exact"/>
        <w:jc w:val="center"/>
        <w:rPr>
          <w:rFonts w:ascii="宋体" w:hAnsi="宋体"/>
          <w:b/>
          <w:sz w:val="36"/>
          <w:szCs w:val="36"/>
        </w:rPr>
      </w:pPr>
    </w:p>
    <w:p w14:paraId="7C78EC52">
      <w:pPr>
        <w:spacing w:line="560" w:lineRule="exact"/>
        <w:jc w:val="center"/>
        <w:rPr>
          <w:rFonts w:ascii="宋体" w:hAnsi="宋体"/>
          <w:b/>
          <w:sz w:val="36"/>
          <w:szCs w:val="36"/>
        </w:rPr>
      </w:pPr>
    </w:p>
    <w:p w14:paraId="5CC2C94B">
      <w:pPr>
        <w:spacing w:line="560" w:lineRule="exact"/>
        <w:jc w:val="center"/>
        <w:rPr>
          <w:rFonts w:ascii="宋体" w:hAnsi="宋体"/>
          <w:b/>
          <w:sz w:val="36"/>
          <w:szCs w:val="36"/>
        </w:rPr>
      </w:pPr>
    </w:p>
    <w:p w14:paraId="1A89CE1B">
      <w:pPr>
        <w:spacing w:line="560" w:lineRule="exact"/>
        <w:jc w:val="center"/>
        <w:rPr>
          <w:rFonts w:ascii="宋体" w:hAnsi="宋体"/>
          <w:b/>
          <w:sz w:val="36"/>
          <w:szCs w:val="36"/>
        </w:rPr>
      </w:pPr>
    </w:p>
    <w:p w14:paraId="308EA4C7">
      <w:pPr>
        <w:pStyle w:val="2"/>
      </w:pPr>
    </w:p>
    <w:p w14:paraId="2D230A98">
      <w:pPr>
        <w:spacing w:line="560" w:lineRule="exact"/>
        <w:jc w:val="center"/>
        <w:rPr>
          <w:rFonts w:ascii="宋体" w:hAnsi="宋体"/>
          <w:b/>
          <w:sz w:val="36"/>
          <w:szCs w:val="36"/>
        </w:rPr>
      </w:pPr>
      <w:r>
        <w:rPr>
          <w:rFonts w:hint="eastAsia" w:ascii="宋体" w:hAnsi="宋体"/>
          <w:b/>
          <w:sz w:val="36"/>
          <w:szCs w:val="36"/>
        </w:rPr>
        <w:t>第一部分　　预算公开管理文件</w:t>
      </w:r>
    </w:p>
    <w:p w14:paraId="03B7AB3B">
      <w:pPr>
        <w:ind w:firstLine="646"/>
        <w:jc w:val="center"/>
        <w:rPr>
          <w:rFonts w:hint="eastAsia" w:ascii="仿宋_GB2312" w:hAnsi="仿宋_GB2312" w:eastAsia="仿宋_GB2312" w:cs="仿宋_GB2312"/>
          <w:b/>
          <w:bCs/>
          <w:sz w:val="32"/>
          <w:szCs w:val="32"/>
        </w:rPr>
      </w:pPr>
    </w:p>
    <w:p w14:paraId="48A3305D">
      <w:pPr>
        <w:spacing w:line="560" w:lineRule="exact"/>
        <w:rPr>
          <w:rFonts w:hint="eastAsia" w:ascii="宋体" w:hAnsi="宋体"/>
          <w:b/>
          <w:sz w:val="36"/>
          <w:szCs w:val="36"/>
        </w:rPr>
      </w:pPr>
      <w:r>
        <w:rPr>
          <w:rFonts w:hint="eastAsia" w:ascii="宋体" w:hAnsi="宋体"/>
          <w:b/>
          <w:sz w:val="36"/>
          <w:szCs w:val="36"/>
        </w:rPr>
        <w:t>《盘锦市</w:t>
      </w:r>
      <w:r>
        <w:rPr>
          <w:rFonts w:hint="eastAsia" w:ascii="宋体" w:hAnsi="宋体"/>
          <w:b/>
          <w:sz w:val="36"/>
          <w:szCs w:val="36"/>
          <w:lang w:eastAsia="zh-CN"/>
        </w:rPr>
        <w:t>文化馆</w:t>
      </w:r>
      <w:r>
        <w:rPr>
          <w:rFonts w:hint="eastAsia" w:ascii="宋体" w:hAnsi="宋体"/>
          <w:b/>
          <w:sz w:val="36"/>
          <w:szCs w:val="36"/>
        </w:rPr>
        <w:t>预决算信息公开管理办法（试行）》</w:t>
      </w:r>
    </w:p>
    <w:p w14:paraId="25B784A2">
      <w:pPr>
        <w:spacing w:line="560" w:lineRule="exact"/>
        <w:rPr>
          <w:rFonts w:hint="eastAsia" w:ascii="宋体" w:hAnsi="宋体"/>
          <w:b/>
          <w:sz w:val="36"/>
          <w:szCs w:val="36"/>
        </w:rPr>
      </w:pPr>
    </w:p>
    <w:p w14:paraId="3721FBD5">
      <w:pPr>
        <w:spacing w:line="240" w:lineRule="auto"/>
        <w:rPr>
          <w:rFonts w:hint="eastAsia" w:ascii="仿宋_GB2312" w:hAnsi="仿宋_GB2312" w:eastAsia="仿宋_GB2312" w:cs="仿宋_GB2312"/>
          <w:b/>
          <w:bCs w:val="0"/>
          <w:sz w:val="32"/>
          <w:szCs w:val="32"/>
        </w:rPr>
      </w:pPr>
      <w:r>
        <w:rPr>
          <w:rFonts w:hint="eastAsia" w:ascii="仿宋_GB2312" w:hAnsi="仿宋_GB2312" w:eastAsia="仿宋_GB2312" w:cs="仿宋_GB2312"/>
          <w:b/>
          <w:bCs w:val="0"/>
          <w:sz w:val="32"/>
          <w:szCs w:val="32"/>
        </w:rPr>
        <w:t>第一章</w:t>
      </w:r>
      <w:r>
        <w:rPr>
          <w:rFonts w:hint="eastAsia" w:ascii="仿宋_GB2312" w:hAnsi="仿宋_GB2312" w:eastAsia="仿宋_GB2312" w:cs="仿宋_GB2312"/>
          <w:b/>
          <w:bCs w:val="0"/>
          <w:sz w:val="32"/>
          <w:szCs w:val="32"/>
        </w:rPr>
        <w:tab/>
      </w:r>
      <w:r>
        <w:rPr>
          <w:rFonts w:hint="eastAsia" w:ascii="仿宋_GB2312" w:hAnsi="仿宋_GB2312" w:eastAsia="仿宋_GB2312" w:cs="仿宋_GB2312"/>
          <w:b/>
          <w:bCs w:val="0"/>
          <w:sz w:val="32"/>
          <w:szCs w:val="32"/>
        </w:rPr>
        <w:t>公开原则</w:t>
      </w:r>
    </w:p>
    <w:p w14:paraId="320E8BE3">
      <w:pPr>
        <w:spacing w:line="240" w:lineRule="auto"/>
        <w:rPr>
          <w:rFonts w:hint="eastAsia" w:ascii="仿宋_GB2312" w:hAnsi="仿宋_GB2312" w:eastAsia="仿宋_GB2312" w:cs="仿宋_GB2312"/>
          <w:b w:val="0"/>
          <w:bCs/>
          <w:sz w:val="32"/>
          <w:szCs w:val="32"/>
        </w:rPr>
      </w:pPr>
      <w:r>
        <w:rPr>
          <w:rFonts w:hint="eastAsia" w:ascii="仿宋_GB2312" w:hAnsi="仿宋_GB2312" w:eastAsia="仿宋_GB2312" w:cs="仿宋_GB2312"/>
          <w:b/>
          <w:bCs w:val="0"/>
          <w:sz w:val="32"/>
          <w:szCs w:val="32"/>
        </w:rPr>
        <w:t xml:space="preserve">第一条 </w:t>
      </w:r>
      <w:r>
        <w:rPr>
          <w:rFonts w:hint="eastAsia" w:ascii="仿宋_GB2312" w:hAnsi="仿宋_GB2312" w:eastAsia="仿宋_GB2312" w:cs="仿宋_GB2312"/>
          <w:b w:val="0"/>
          <w:bCs/>
          <w:sz w:val="32"/>
          <w:szCs w:val="32"/>
        </w:rPr>
        <w:t>为推进和规范预决算信息公开工作，强化社会监督，转变政府职能，建立透明预决算制度，根据《中华人民共和国预算法》、《中华人民共和国政府信息公开条例》及《地方预决算公开操作规程》等有关规定和要求，结合本单位实际，制定本办法。</w:t>
      </w:r>
    </w:p>
    <w:p w14:paraId="43094A61">
      <w:pPr>
        <w:spacing w:line="240" w:lineRule="auto"/>
        <w:rPr>
          <w:rFonts w:hint="eastAsia" w:ascii="仿宋_GB2312" w:hAnsi="仿宋_GB2312" w:eastAsia="仿宋_GB2312" w:cs="仿宋_GB2312"/>
          <w:b w:val="0"/>
          <w:bCs/>
          <w:sz w:val="32"/>
          <w:szCs w:val="32"/>
        </w:rPr>
      </w:pPr>
      <w:r>
        <w:rPr>
          <w:rFonts w:hint="eastAsia" w:ascii="仿宋_GB2312" w:hAnsi="仿宋_GB2312" w:eastAsia="仿宋_GB2312" w:cs="仿宋_GB2312"/>
          <w:b/>
          <w:bCs w:val="0"/>
          <w:sz w:val="32"/>
          <w:szCs w:val="32"/>
        </w:rPr>
        <w:t xml:space="preserve">第二条 </w:t>
      </w:r>
      <w:r>
        <w:rPr>
          <w:rFonts w:hint="eastAsia" w:ascii="仿宋_GB2312" w:hAnsi="仿宋_GB2312" w:eastAsia="仿宋_GB2312" w:cs="仿宋_GB2312"/>
          <w:b w:val="0"/>
          <w:bCs/>
          <w:sz w:val="32"/>
          <w:szCs w:val="32"/>
        </w:rPr>
        <w:t>预决算信息以公开为常态，不公开为例外，依法依规公开预决算。除涉及国家秘密外，不得少公开、不公开应当公开的事项，保证公开内容全面、真实、完整。</w:t>
      </w:r>
    </w:p>
    <w:p w14:paraId="5AB88281">
      <w:pPr>
        <w:spacing w:line="240" w:lineRule="auto"/>
        <w:rPr>
          <w:rFonts w:hint="eastAsia" w:ascii="仿宋_GB2312" w:hAnsi="仿宋_GB2312" w:eastAsia="仿宋_GB2312" w:cs="仿宋_GB2312"/>
          <w:b w:val="0"/>
          <w:bCs/>
          <w:sz w:val="32"/>
          <w:szCs w:val="32"/>
        </w:rPr>
      </w:pPr>
      <w:r>
        <w:rPr>
          <w:rFonts w:hint="eastAsia" w:ascii="仿宋_GB2312" w:hAnsi="仿宋_GB2312" w:eastAsia="仿宋_GB2312" w:cs="仿宋_GB2312"/>
          <w:b/>
          <w:bCs w:val="0"/>
          <w:sz w:val="32"/>
          <w:szCs w:val="32"/>
        </w:rPr>
        <w:t>第三条</w:t>
      </w:r>
      <w:r>
        <w:rPr>
          <w:rFonts w:hint="eastAsia" w:ascii="仿宋_GB2312" w:hAnsi="仿宋_GB2312" w:eastAsia="仿宋_GB2312" w:cs="仿宋_GB2312"/>
          <w:b w:val="0"/>
          <w:bCs/>
          <w:sz w:val="32"/>
          <w:szCs w:val="32"/>
        </w:rPr>
        <w:t xml:space="preserve"> 公开及时，内容准确，形式规范。方便社会监督，公开内容公众找得着、看得懂、能监督。</w:t>
      </w:r>
    </w:p>
    <w:p w14:paraId="24D2BDF1">
      <w:pPr>
        <w:spacing w:line="240" w:lineRule="auto"/>
        <w:rPr>
          <w:rFonts w:hint="eastAsia" w:ascii="仿宋_GB2312" w:hAnsi="仿宋_GB2312" w:eastAsia="仿宋_GB2312" w:cs="仿宋_GB2312"/>
          <w:b/>
          <w:bCs w:val="0"/>
          <w:sz w:val="32"/>
          <w:szCs w:val="32"/>
        </w:rPr>
      </w:pPr>
      <w:r>
        <w:rPr>
          <w:rFonts w:hint="eastAsia" w:ascii="仿宋_GB2312" w:hAnsi="仿宋_GB2312" w:eastAsia="仿宋_GB2312" w:cs="仿宋_GB2312"/>
          <w:b/>
          <w:bCs w:val="0"/>
          <w:sz w:val="32"/>
          <w:szCs w:val="32"/>
        </w:rPr>
        <w:t>第二章 公开主体和职责</w:t>
      </w:r>
    </w:p>
    <w:p w14:paraId="699FF30D">
      <w:pPr>
        <w:spacing w:line="240" w:lineRule="auto"/>
        <w:rPr>
          <w:rFonts w:hint="eastAsia" w:ascii="仿宋_GB2312" w:hAnsi="仿宋_GB2312" w:eastAsia="仿宋_GB2312" w:cs="仿宋_GB2312"/>
          <w:b/>
          <w:bCs w:val="0"/>
          <w:sz w:val="32"/>
          <w:szCs w:val="32"/>
        </w:rPr>
      </w:pPr>
      <w:r>
        <w:rPr>
          <w:rFonts w:hint="eastAsia" w:ascii="仿宋_GB2312" w:hAnsi="仿宋_GB2312" w:eastAsia="仿宋_GB2312" w:cs="仿宋_GB2312"/>
          <w:b/>
          <w:bCs w:val="0"/>
          <w:sz w:val="32"/>
          <w:szCs w:val="32"/>
        </w:rPr>
        <w:t>第四条</w:t>
      </w:r>
      <w:r>
        <w:rPr>
          <w:rFonts w:hint="eastAsia" w:ascii="仿宋_GB2312" w:hAnsi="仿宋_GB2312" w:eastAsia="仿宋_GB2312" w:cs="仿宋_GB2312"/>
          <w:b w:val="0"/>
          <w:bCs/>
          <w:sz w:val="32"/>
          <w:szCs w:val="32"/>
        </w:rPr>
        <w:t xml:space="preserve"> 部门负责本单位及所属单位的预决算信息公开工作，本单位履行下列职责:</w:t>
      </w:r>
    </w:p>
    <w:p w14:paraId="26EFBE92">
      <w:pPr>
        <w:spacing w:line="240" w:lineRule="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(一)制定本单位预决算信息公开的工作方案;</w:t>
      </w:r>
    </w:p>
    <w:p w14:paraId="2353E76E">
      <w:pPr>
        <w:spacing w:line="240" w:lineRule="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(二)按规定公开本单位的预决算信息;</w:t>
      </w:r>
    </w:p>
    <w:p w14:paraId="03E05A24">
      <w:pPr>
        <w:spacing w:line="240" w:lineRule="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 按规定做好本单位预决算信息公开中的答复工作;</w:t>
      </w:r>
    </w:p>
    <w:p w14:paraId="199BC2C0">
      <w:pPr>
        <w:spacing w:line="240" w:lineRule="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(四)法律、法规、规章规定的其他职责。</w:t>
      </w:r>
    </w:p>
    <w:p w14:paraId="4C59B41E">
      <w:pPr>
        <w:spacing w:line="240" w:lineRule="auto"/>
        <w:rPr>
          <w:rFonts w:hint="eastAsia" w:ascii="仿宋_GB2312" w:hAnsi="仿宋_GB2312" w:eastAsia="仿宋_GB2312" w:cs="仿宋_GB2312"/>
          <w:b w:val="0"/>
          <w:bCs/>
          <w:sz w:val="32"/>
          <w:szCs w:val="32"/>
        </w:rPr>
      </w:pPr>
      <w:r>
        <w:rPr>
          <w:rFonts w:hint="eastAsia" w:ascii="仿宋_GB2312" w:hAnsi="仿宋_GB2312" w:eastAsia="仿宋_GB2312" w:cs="仿宋_GB2312"/>
          <w:b/>
          <w:bCs w:val="0"/>
          <w:sz w:val="32"/>
          <w:szCs w:val="32"/>
        </w:rPr>
        <w:t>第三章 公开内容</w:t>
      </w:r>
    </w:p>
    <w:p w14:paraId="1BBA03D5">
      <w:pPr>
        <w:spacing w:line="240" w:lineRule="auto"/>
        <w:rPr>
          <w:rFonts w:hint="eastAsia" w:ascii="仿宋_GB2312" w:hAnsi="仿宋_GB2312" w:eastAsia="仿宋_GB2312" w:cs="仿宋_GB2312"/>
          <w:b w:val="0"/>
          <w:bCs/>
          <w:sz w:val="32"/>
          <w:szCs w:val="32"/>
        </w:rPr>
      </w:pPr>
      <w:r>
        <w:rPr>
          <w:rFonts w:hint="eastAsia" w:ascii="仿宋_GB2312" w:hAnsi="仿宋_GB2312" w:eastAsia="仿宋_GB2312" w:cs="仿宋_GB2312"/>
          <w:b/>
          <w:bCs w:val="0"/>
          <w:sz w:val="32"/>
          <w:szCs w:val="32"/>
        </w:rPr>
        <w:t>第五条</w:t>
      </w:r>
      <w:r>
        <w:rPr>
          <w:rFonts w:hint="eastAsia" w:ascii="仿宋_GB2312" w:hAnsi="仿宋_GB2312" w:eastAsia="仿宋_GB2312" w:cs="仿宋_GB2312"/>
          <w:b w:val="0"/>
          <w:bCs/>
          <w:sz w:val="32"/>
          <w:szCs w:val="32"/>
        </w:rPr>
        <w:t xml:space="preserve"> 单位预算信息(涉密信息除外)公开内容包括:</w:t>
      </w:r>
    </w:p>
    <w:p w14:paraId="714D8AFA">
      <w:pPr>
        <w:spacing w:line="240" w:lineRule="auto"/>
        <w:rPr>
          <w:rFonts w:hint="eastAsia" w:ascii="仿宋_GB2312" w:hAnsi="仿宋_GB2312" w:eastAsia="仿宋_GB2312" w:cs="仿宋_GB2312"/>
          <w:b w:val="0"/>
          <w:bCs/>
          <w:sz w:val="32"/>
          <w:szCs w:val="32"/>
        </w:rPr>
      </w:pPr>
      <w:r>
        <w:rPr>
          <w:rFonts w:hint="eastAsia" w:ascii="仿宋_GB2312" w:hAnsi="仿宋_GB2312" w:eastAsia="仿宋_GB2312" w:cs="仿宋_GB2312"/>
          <w:b/>
          <w:bCs w:val="0"/>
          <w:sz w:val="32"/>
          <w:szCs w:val="32"/>
        </w:rPr>
        <w:t>(一)单位概况</w:t>
      </w:r>
      <w:r>
        <w:rPr>
          <w:rFonts w:hint="eastAsia" w:ascii="仿宋_GB2312" w:hAnsi="仿宋_GB2312" w:eastAsia="仿宋_GB2312" w:cs="仿宋_GB2312"/>
          <w:b w:val="0"/>
          <w:bCs/>
          <w:sz w:val="32"/>
          <w:szCs w:val="32"/>
        </w:rPr>
        <w:t>:主要包括单位主要职责、机构设置等。</w:t>
      </w:r>
    </w:p>
    <w:p w14:paraId="48EB2721">
      <w:pPr>
        <w:spacing w:line="240" w:lineRule="auto"/>
        <w:rPr>
          <w:rFonts w:hint="eastAsia" w:ascii="仿宋_GB2312" w:hAnsi="仿宋_GB2312" w:eastAsia="仿宋_GB2312" w:cs="仿宋_GB2312"/>
          <w:b w:val="0"/>
          <w:bCs/>
          <w:sz w:val="32"/>
          <w:szCs w:val="32"/>
        </w:rPr>
      </w:pPr>
      <w:r>
        <w:rPr>
          <w:rFonts w:hint="eastAsia" w:ascii="仿宋_GB2312" w:hAnsi="仿宋_GB2312" w:eastAsia="仿宋_GB2312" w:cs="仿宋_GB2312"/>
          <w:b/>
          <w:bCs w:val="0"/>
          <w:sz w:val="32"/>
          <w:szCs w:val="32"/>
        </w:rPr>
        <w:t>(二)单位预算表。</w:t>
      </w:r>
      <w:r>
        <w:rPr>
          <w:rFonts w:hint="eastAsia" w:ascii="仿宋_GB2312" w:hAnsi="仿宋_GB2312" w:eastAsia="仿宋_GB2312" w:cs="仿宋_GB2312"/>
          <w:b w:val="0"/>
          <w:bCs/>
          <w:sz w:val="32"/>
          <w:szCs w:val="32"/>
        </w:rPr>
        <w:t xml:space="preserve">主要包括单位收支预算总表、收入预算总表、支出预算总表、财政拨款收支预算总表、一般公共预算支出表、财政拨款预算“三公”经费支出表、政府性基金预算支出表、项目支出预算表、支出功能分类预算表、支出经济分类预算表（政府预算）、支出经济分类预算表（部门预算）、债务支出预算表、政府采购支出预算表、部门（单位）整体绩效目标表、部门预算项目（政策）绩效目标表、部门管理专项资金预算表等预算表等。  </w:t>
      </w:r>
    </w:p>
    <w:p w14:paraId="5FC8E681">
      <w:pPr>
        <w:spacing w:line="240" w:lineRule="auto"/>
        <w:rPr>
          <w:rFonts w:hint="eastAsia" w:ascii="仿宋_GB2312" w:hAnsi="仿宋_GB2312" w:eastAsia="仿宋_GB2312" w:cs="仿宋_GB2312"/>
          <w:b w:val="0"/>
          <w:bCs/>
          <w:sz w:val="32"/>
          <w:szCs w:val="32"/>
        </w:rPr>
      </w:pPr>
      <w:r>
        <w:rPr>
          <w:rFonts w:hint="eastAsia" w:ascii="仿宋_GB2312" w:hAnsi="仿宋_GB2312" w:eastAsia="仿宋_GB2312" w:cs="仿宋_GB2312"/>
          <w:b/>
          <w:bCs w:val="0"/>
          <w:sz w:val="32"/>
          <w:szCs w:val="32"/>
        </w:rPr>
        <w:t>(三)单位预算情况说明。</w:t>
      </w:r>
      <w:r>
        <w:rPr>
          <w:rFonts w:hint="eastAsia" w:ascii="仿宋_GB2312" w:hAnsi="仿宋_GB2312" w:eastAsia="仿宋_GB2312" w:cs="仿宋_GB2312"/>
          <w:b w:val="0"/>
          <w:bCs/>
          <w:sz w:val="32"/>
          <w:szCs w:val="32"/>
        </w:rPr>
        <w:t>主要包括部门预算收支增减变化情况说明、“三公经费”预算增减变化情况说明、机关运行经费安排情况说明、政府采购安排情况说明、国有资产占有使用情况说明、预算绩效目标情况说明等。</w:t>
      </w:r>
    </w:p>
    <w:p w14:paraId="0952F769">
      <w:pPr>
        <w:spacing w:line="240" w:lineRule="auto"/>
        <w:rPr>
          <w:rFonts w:hint="eastAsia" w:ascii="仿宋_GB2312" w:hAnsi="仿宋_GB2312" w:eastAsia="仿宋_GB2312" w:cs="仿宋_GB2312"/>
          <w:b w:val="0"/>
          <w:bCs/>
          <w:sz w:val="32"/>
          <w:szCs w:val="32"/>
        </w:rPr>
      </w:pPr>
      <w:r>
        <w:rPr>
          <w:rFonts w:hint="eastAsia" w:ascii="仿宋_GB2312" w:hAnsi="仿宋_GB2312" w:eastAsia="仿宋_GB2312" w:cs="仿宋_GB2312"/>
          <w:b/>
          <w:bCs w:val="0"/>
          <w:sz w:val="32"/>
          <w:szCs w:val="32"/>
        </w:rPr>
        <w:t>(四)名词解释</w:t>
      </w:r>
      <w:r>
        <w:rPr>
          <w:rFonts w:hint="eastAsia" w:ascii="仿宋_GB2312" w:hAnsi="仿宋_GB2312" w:eastAsia="仿宋_GB2312" w:cs="仿宋_GB2312"/>
          <w:b w:val="0"/>
          <w:bCs/>
          <w:sz w:val="32"/>
          <w:szCs w:val="32"/>
        </w:rPr>
        <w:t>。主要对涉及本部门预算公开表中的专业名词进行解释说明。</w:t>
      </w:r>
    </w:p>
    <w:p w14:paraId="6268A703">
      <w:pPr>
        <w:spacing w:line="240" w:lineRule="auto"/>
        <w:rPr>
          <w:rFonts w:hint="eastAsia" w:ascii="仿宋_GB2312" w:hAnsi="仿宋_GB2312" w:eastAsia="仿宋_GB2312" w:cs="仿宋_GB2312"/>
          <w:b w:val="0"/>
          <w:bCs/>
          <w:sz w:val="32"/>
          <w:szCs w:val="32"/>
        </w:rPr>
      </w:pPr>
      <w:r>
        <w:rPr>
          <w:rFonts w:hint="eastAsia" w:ascii="仿宋_GB2312" w:hAnsi="仿宋_GB2312" w:eastAsia="仿宋_GB2312" w:cs="仿宋_GB2312"/>
          <w:b/>
          <w:bCs w:val="0"/>
          <w:sz w:val="32"/>
          <w:szCs w:val="32"/>
        </w:rPr>
        <w:t xml:space="preserve">第六条 </w:t>
      </w:r>
      <w:r>
        <w:rPr>
          <w:rFonts w:hint="eastAsia" w:ascii="仿宋_GB2312" w:hAnsi="仿宋_GB2312" w:eastAsia="仿宋_GB2312" w:cs="仿宋_GB2312"/>
          <w:b w:val="0"/>
          <w:bCs/>
          <w:sz w:val="32"/>
          <w:szCs w:val="32"/>
        </w:rPr>
        <w:t>单位决算信息(涉密信息除外)公开内容包括:</w:t>
      </w:r>
    </w:p>
    <w:p w14:paraId="727A03B2">
      <w:pPr>
        <w:spacing w:line="240" w:lineRule="auto"/>
        <w:rPr>
          <w:rFonts w:hint="eastAsia" w:ascii="仿宋_GB2312" w:hAnsi="仿宋_GB2312" w:eastAsia="仿宋_GB2312" w:cs="仿宋_GB2312"/>
          <w:b w:val="0"/>
          <w:bCs/>
          <w:sz w:val="32"/>
          <w:szCs w:val="32"/>
        </w:rPr>
      </w:pPr>
      <w:r>
        <w:rPr>
          <w:rFonts w:hint="eastAsia" w:ascii="仿宋_GB2312" w:hAnsi="仿宋_GB2312" w:eastAsia="仿宋_GB2312" w:cs="仿宋_GB2312"/>
          <w:b/>
          <w:bCs w:val="0"/>
          <w:sz w:val="32"/>
          <w:szCs w:val="32"/>
        </w:rPr>
        <w:t>(一)单位概况</w:t>
      </w:r>
      <w:r>
        <w:rPr>
          <w:rFonts w:hint="eastAsia" w:ascii="仿宋_GB2312" w:hAnsi="仿宋_GB2312" w:eastAsia="仿宋_GB2312" w:cs="仿宋_GB2312"/>
          <w:b w:val="0"/>
          <w:bCs/>
          <w:sz w:val="32"/>
          <w:szCs w:val="32"/>
        </w:rPr>
        <w:t>。主要包括单位主要职能、单位决算单位构成情况等。</w:t>
      </w:r>
    </w:p>
    <w:p w14:paraId="680089D8">
      <w:pPr>
        <w:spacing w:line="240" w:lineRule="auto"/>
        <w:rPr>
          <w:rFonts w:hint="eastAsia" w:ascii="仿宋_GB2312" w:hAnsi="仿宋_GB2312" w:eastAsia="仿宋_GB2312" w:cs="仿宋_GB2312"/>
          <w:b w:val="0"/>
          <w:bCs/>
          <w:sz w:val="32"/>
          <w:szCs w:val="32"/>
        </w:rPr>
      </w:pPr>
      <w:r>
        <w:rPr>
          <w:rFonts w:hint="eastAsia" w:ascii="仿宋_GB2312" w:hAnsi="仿宋_GB2312" w:eastAsia="仿宋_GB2312" w:cs="仿宋_GB2312"/>
          <w:b/>
          <w:bCs w:val="0"/>
          <w:sz w:val="32"/>
          <w:szCs w:val="32"/>
        </w:rPr>
        <w:t>(二)单位决算表</w:t>
      </w:r>
      <w:r>
        <w:rPr>
          <w:rFonts w:hint="eastAsia" w:ascii="仿宋_GB2312" w:hAnsi="仿宋_GB2312" w:eastAsia="仿宋_GB2312" w:cs="仿宋_GB2312"/>
          <w:b w:val="0"/>
          <w:bCs/>
          <w:sz w:val="32"/>
          <w:szCs w:val="32"/>
        </w:rPr>
        <w:t>。主要包括收入支出决算总表、财政拨款支出决算表(按功能分类到项级)、财政拨款基本支出决算表(按经济分类到款级)、政府性基金预算财政拨款收入支出决算表、一般公共预算财政拨款“三公”经费等。</w:t>
      </w:r>
    </w:p>
    <w:p w14:paraId="2368DFDF">
      <w:pPr>
        <w:spacing w:line="240" w:lineRule="auto"/>
        <w:rPr>
          <w:rFonts w:hint="eastAsia" w:ascii="仿宋_GB2312" w:hAnsi="仿宋_GB2312" w:eastAsia="仿宋_GB2312" w:cs="仿宋_GB2312"/>
          <w:b w:val="0"/>
          <w:bCs/>
          <w:sz w:val="32"/>
          <w:szCs w:val="32"/>
        </w:rPr>
      </w:pPr>
      <w:r>
        <w:rPr>
          <w:rFonts w:hint="eastAsia" w:ascii="仿宋_GB2312" w:hAnsi="仿宋_GB2312" w:eastAsia="仿宋_GB2312" w:cs="仿宋_GB2312"/>
          <w:b/>
          <w:bCs w:val="0"/>
          <w:sz w:val="32"/>
          <w:szCs w:val="32"/>
        </w:rPr>
        <w:t>(三)单位决算情况说明</w:t>
      </w:r>
      <w:r>
        <w:rPr>
          <w:rFonts w:hint="eastAsia" w:ascii="仿宋_GB2312" w:hAnsi="仿宋_GB2312" w:eastAsia="仿宋_GB2312" w:cs="仿宋_GB2312"/>
          <w:b w:val="0"/>
          <w:bCs/>
          <w:sz w:val="32"/>
          <w:szCs w:val="32"/>
        </w:rPr>
        <w:t>。包括:部门决算年度收支情况、财政拨款预算执行情况和“三公”经费、机关运行经费政府采购支出决算情况及其说明。“三公”经费决算公开要说明因公出国(境)团组数及人数，公务用车购置数及保有量，国内公务接待的批次、人数、经费总额以及“三公”经费增减变化原因等情况等相关信息。</w:t>
      </w:r>
    </w:p>
    <w:p w14:paraId="6BA26BBF">
      <w:pPr>
        <w:spacing w:line="240" w:lineRule="auto"/>
        <w:rPr>
          <w:rFonts w:hint="eastAsia" w:ascii="仿宋_GB2312" w:hAnsi="仿宋_GB2312" w:eastAsia="仿宋_GB2312" w:cs="仿宋_GB2312"/>
          <w:b w:val="0"/>
          <w:bCs/>
          <w:sz w:val="32"/>
          <w:szCs w:val="32"/>
        </w:rPr>
      </w:pPr>
      <w:r>
        <w:rPr>
          <w:rFonts w:hint="eastAsia" w:ascii="仿宋_GB2312" w:hAnsi="仿宋_GB2312" w:eastAsia="仿宋_GB2312" w:cs="仿宋_GB2312"/>
          <w:b/>
          <w:bCs w:val="0"/>
          <w:sz w:val="32"/>
          <w:szCs w:val="32"/>
        </w:rPr>
        <w:t>(四)名词解释</w:t>
      </w:r>
      <w:r>
        <w:rPr>
          <w:rFonts w:hint="eastAsia" w:ascii="仿宋_GB2312" w:hAnsi="仿宋_GB2312" w:eastAsia="仿宋_GB2312" w:cs="仿宋_GB2312"/>
          <w:b w:val="0"/>
          <w:bCs/>
          <w:sz w:val="32"/>
          <w:szCs w:val="32"/>
        </w:rPr>
        <w:t>。主要对涉及本部门决算公开表中的专业名称进行解释说明。</w:t>
      </w:r>
    </w:p>
    <w:p w14:paraId="7479F3D3">
      <w:pPr>
        <w:spacing w:line="240" w:lineRule="auto"/>
        <w:rPr>
          <w:rFonts w:hint="eastAsia" w:ascii="仿宋_GB2312" w:hAnsi="仿宋_GB2312" w:eastAsia="仿宋_GB2312" w:cs="仿宋_GB2312"/>
          <w:b/>
          <w:bCs w:val="0"/>
          <w:sz w:val="32"/>
          <w:szCs w:val="32"/>
        </w:rPr>
      </w:pPr>
      <w:r>
        <w:rPr>
          <w:rFonts w:hint="eastAsia" w:ascii="仿宋_GB2312" w:hAnsi="仿宋_GB2312" w:eastAsia="仿宋_GB2312" w:cs="仿宋_GB2312"/>
          <w:b/>
          <w:bCs w:val="0"/>
          <w:sz w:val="32"/>
          <w:szCs w:val="32"/>
        </w:rPr>
        <w:t>第四章</w:t>
      </w:r>
      <w:r>
        <w:rPr>
          <w:rFonts w:hint="eastAsia" w:ascii="仿宋_GB2312" w:hAnsi="仿宋_GB2312" w:eastAsia="仿宋_GB2312" w:cs="仿宋_GB2312"/>
          <w:b/>
          <w:bCs w:val="0"/>
          <w:sz w:val="32"/>
          <w:szCs w:val="32"/>
          <w:lang w:val="en-US" w:eastAsia="zh-CN"/>
        </w:rPr>
        <w:t xml:space="preserve"> </w:t>
      </w:r>
      <w:r>
        <w:rPr>
          <w:rFonts w:hint="eastAsia" w:ascii="仿宋_GB2312" w:hAnsi="仿宋_GB2312" w:eastAsia="仿宋_GB2312" w:cs="仿宋_GB2312"/>
          <w:b/>
          <w:bCs w:val="0"/>
          <w:sz w:val="32"/>
          <w:szCs w:val="32"/>
        </w:rPr>
        <w:t>公开方式</w:t>
      </w:r>
    </w:p>
    <w:p w14:paraId="7CAFA43F">
      <w:pPr>
        <w:spacing w:line="240" w:lineRule="auto"/>
        <w:rPr>
          <w:rFonts w:hint="eastAsia" w:ascii="仿宋_GB2312" w:hAnsi="仿宋_GB2312" w:eastAsia="仿宋_GB2312" w:cs="仿宋_GB2312"/>
          <w:b w:val="0"/>
          <w:bCs/>
          <w:sz w:val="32"/>
          <w:szCs w:val="32"/>
        </w:rPr>
      </w:pPr>
      <w:r>
        <w:rPr>
          <w:rFonts w:hint="eastAsia" w:ascii="仿宋_GB2312" w:hAnsi="仿宋_GB2312" w:eastAsia="仿宋_GB2312" w:cs="仿宋_GB2312"/>
          <w:b/>
          <w:bCs w:val="0"/>
          <w:sz w:val="32"/>
          <w:szCs w:val="32"/>
        </w:rPr>
        <w:t>第七条</w:t>
      </w:r>
      <w:r>
        <w:rPr>
          <w:rFonts w:hint="eastAsia" w:ascii="仿宋_GB2312" w:hAnsi="仿宋_GB2312" w:eastAsia="仿宋_GB2312" w:cs="仿宋_GB2312"/>
          <w:b w:val="0"/>
          <w:bCs/>
          <w:sz w:val="32"/>
          <w:szCs w:val="32"/>
        </w:rPr>
        <w:t xml:space="preserve"> 预决算信息在本单位主管部门门户网站</w:t>
      </w:r>
      <w:r>
        <w:rPr>
          <w:rFonts w:hint="eastAsia" w:ascii="仿宋_GB2312" w:hAnsi="仿宋_GB2312" w:eastAsia="仿宋_GB2312" w:cs="仿宋_GB2312"/>
          <w:b w:val="0"/>
          <w:bCs/>
          <w:sz w:val="32"/>
          <w:szCs w:val="32"/>
          <w:lang w:eastAsia="zh-CN"/>
        </w:rPr>
        <w:t>、单位</w:t>
      </w:r>
      <w:r>
        <w:rPr>
          <w:rFonts w:hint="eastAsia" w:ascii="仿宋_GB2312" w:hAnsi="仿宋_GB2312" w:eastAsia="仿宋_GB2312" w:cs="仿宋_GB2312"/>
          <w:b w:val="0"/>
          <w:bCs/>
          <w:sz w:val="32"/>
          <w:szCs w:val="32"/>
        </w:rPr>
        <w:t>门户网站和市政府门户网站设立的“预决算公开”专栏进行公开，并保持长期公开状态，便于社会公众查阅和监督。</w:t>
      </w:r>
    </w:p>
    <w:p w14:paraId="00B6E298">
      <w:pPr>
        <w:spacing w:line="240" w:lineRule="auto"/>
        <w:rPr>
          <w:rFonts w:hint="eastAsia" w:ascii="仿宋_GB2312" w:hAnsi="仿宋_GB2312" w:eastAsia="仿宋_GB2312" w:cs="仿宋_GB2312"/>
          <w:b/>
          <w:bCs w:val="0"/>
          <w:sz w:val="32"/>
          <w:szCs w:val="32"/>
        </w:rPr>
      </w:pPr>
      <w:r>
        <w:rPr>
          <w:rFonts w:hint="eastAsia" w:ascii="仿宋_GB2312" w:hAnsi="仿宋_GB2312" w:eastAsia="仿宋_GB2312" w:cs="仿宋_GB2312"/>
          <w:b/>
          <w:bCs w:val="0"/>
          <w:sz w:val="32"/>
          <w:szCs w:val="32"/>
        </w:rPr>
        <w:t>第五章</w:t>
      </w:r>
      <w:r>
        <w:rPr>
          <w:rFonts w:hint="eastAsia" w:ascii="仿宋_GB2312" w:hAnsi="仿宋_GB2312" w:eastAsia="仿宋_GB2312" w:cs="仿宋_GB2312"/>
          <w:b/>
          <w:bCs w:val="0"/>
          <w:sz w:val="32"/>
          <w:szCs w:val="32"/>
          <w:lang w:val="en-US" w:eastAsia="zh-CN"/>
        </w:rPr>
        <w:t xml:space="preserve"> </w:t>
      </w:r>
      <w:r>
        <w:rPr>
          <w:rFonts w:hint="eastAsia" w:ascii="仿宋_GB2312" w:hAnsi="仿宋_GB2312" w:eastAsia="仿宋_GB2312" w:cs="仿宋_GB2312"/>
          <w:b/>
          <w:bCs w:val="0"/>
          <w:sz w:val="32"/>
          <w:szCs w:val="32"/>
        </w:rPr>
        <w:t>公开程序</w:t>
      </w:r>
    </w:p>
    <w:p w14:paraId="77D2E767">
      <w:pPr>
        <w:spacing w:line="240" w:lineRule="auto"/>
        <w:rPr>
          <w:rFonts w:hint="eastAsia" w:ascii="仿宋_GB2312" w:hAnsi="仿宋_GB2312" w:eastAsia="仿宋_GB2312" w:cs="仿宋_GB2312"/>
          <w:b w:val="0"/>
          <w:bCs/>
          <w:sz w:val="32"/>
          <w:szCs w:val="32"/>
        </w:rPr>
      </w:pPr>
      <w:r>
        <w:rPr>
          <w:rFonts w:hint="eastAsia" w:ascii="仿宋_GB2312" w:hAnsi="仿宋_GB2312" w:eastAsia="仿宋_GB2312" w:cs="仿宋_GB2312"/>
          <w:b/>
          <w:bCs w:val="0"/>
          <w:sz w:val="32"/>
          <w:szCs w:val="32"/>
        </w:rPr>
        <w:t>第八条</w:t>
      </w:r>
      <w:r>
        <w:rPr>
          <w:rFonts w:hint="eastAsia" w:ascii="仿宋_GB2312" w:hAnsi="仿宋_GB2312" w:eastAsia="仿宋_GB2312" w:cs="仿宋_GB2312"/>
          <w:b/>
          <w:bCs w:val="0"/>
          <w:sz w:val="32"/>
          <w:szCs w:val="32"/>
          <w:lang w:val="en-US" w:eastAsia="zh-CN"/>
        </w:rPr>
        <w:t xml:space="preserve"> </w:t>
      </w:r>
      <w:r>
        <w:rPr>
          <w:rFonts w:hint="eastAsia" w:ascii="仿宋_GB2312" w:hAnsi="仿宋_GB2312" w:eastAsia="仿宋_GB2312" w:cs="仿宋_GB2312"/>
          <w:b w:val="0"/>
          <w:bCs/>
          <w:sz w:val="32"/>
          <w:szCs w:val="32"/>
        </w:rPr>
        <w:t>根据本级财政部门批复的部门预算、部门决算及报表，应当在批复后20日内由本部门公开预决算信息。</w:t>
      </w:r>
    </w:p>
    <w:p w14:paraId="678225EA">
      <w:pPr>
        <w:numPr>
          <w:ilvl w:val="0"/>
          <w:numId w:val="2"/>
        </w:numPr>
        <w:spacing w:line="240" w:lineRule="auto"/>
        <w:rPr>
          <w:rFonts w:hint="eastAsia" w:ascii="仿宋_GB2312" w:hAnsi="仿宋_GB2312" w:eastAsia="仿宋_GB2312" w:cs="仿宋_GB2312"/>
          <w:b/>
          <w:bCs w:val="0"/>
          <w:sz w:val="32"/>
          <w:szCs w:val="32"/>
        </w:rPr>
      </w:pPr>
      <w:r>
        <w:rPr>
          <w:rFonts w:hint="eastAsia" w:ascii="仿宋_GB2312" w:hAnsi="仿宋_GB2312" w:eastAsia="仿宋_GB2312" w:cs="仿宋_GB2312"/>
          <w:b/>
          <w:bCs w:val="0"/>
          <w:sz w:val="32"/>
          <w:szCs w:val="32"/>
        </w:rPr>
        <w:t>附则</w:t>
      </w:r>
    </w:p>
    <w:p w14:paraId="2CE95609">
      <w:pPr>
        <w:numPr>
          <w:ilvl w:val="0"/>
          <w:numId w:val="0"/>
        </w:numPr>
        <w:spacing w:line="240" w:lineRule="auto"/>
        <w:rPr>
          <w:rFonts w:hint="eastAsia" w:ascii="宋体" w:hAnsi="宋体"/>
          <w:b/>
          <w:sz w:val="36"/>
          <w:szCs w:val="36"/>
        </w:rPr>
      </w:pPr>
      <w:r>
        <w:rPr>
          <w:rFonts w:hint="eastAsia" w:ascii="仿宋_GB2312" w:hAnsi="仿宋_GB2312" w:eastAsia="仿宋_GB2312" w:cs="仿宋_GB2312"/>
          <w:b/>
          <w:bCs w:val="0"/>
          <w:sz w:val="32"/>
          <w:szCs w:val="32"/>
        </w:rPr>
        <w:t>第九条</w:t>
      </w:r>
      <w:r>
        <w:rPr>
          <w:rFonts w:hint="eastAsia" w:ascii="仿宋_GB2312" w:hAnsi="仿宋_GB2312" w:eastAsia="仿宋_GB2312" w:cs="仿宋_GB2312"/>
          <w:b/>
          <w:bCs w:val="0"/>
          <w:sz w:val="32"/>
          <w:szCs w:val="32"/>
          <w:lang w:val="en-US" w:eastAsia="zh-CN"/>
        </w:rPr>
        <w:t xml:space="preserve"> </w:t>
      </w:r>
      <w:r>
        <w:rPr>
          <w:rFonts w:hint="eastAsia" w:ascii="仿宋_GB2312" w:hAnsi="仿宋_GB2312" w:eastAsia="仿宋_GB2312" w:cs="仿宋_GB2312"/>
          <w:b w:val="0"/>
          <w:bCs/>
          <w:sz w:val="32"/>
          <w:szCs w:val="32"/>
        </w:rPr>
        <w:t>本办法自印发之日起实行</w:t>
      </w:r>
      <w:r>
        <w:rPr>
          <w:rFonts w:hint="eastAsia" w:ascii="仿宋_GB2312" w:hAnsi="仿宋_GB2312" w:eastAsia="仿宋_GB2312" w:cs="仿宋_GB2312"/>
          <w:b/>
          <w:bCs w:val="0"/>
          <w:sz w:val="32"/>
          <w:szCs w:val="32"/>
        </w:rPr>
        <w:t>。</w:t>
      </w:r>
    </w:p>
    <w:p w14:paraId="70206265">
      <w:pPr>
        <w:spacing w:line="560" w:lineRule="exact"/>
        <w:jc w:val="center"/>
        <w:rPr>
          <w:rFonts w:hint="eastAsia" w:ascii="宋体" w:hAnsi="宋体"/>
          <w:b/>
          <w:sz w:val="36"/>
          <w:szCs w:val="36"/>
        </w:rPr>
      </w:pPr>
    </w:p>
    <w:p w14:paraId="707AFEB0">
      <w:pPr>
        <w:spacing w:line="560" w:lineRule="exact"/>
        <w:jc w:val="center"/>
        <w:rPr>
          <w:rFonts w:hint="eastAsia" w:ascii="宋体" w:hAnsi="宋体"/>
          <w:b/>
          <w:sz w:val="36"/>
          <w:szCs w:val="36"/>
        </w:rPr>
      </w:pPr>
    </w:p>
    <w:p w14:paraId="0E62D85C">
      <w:pPr>
        <w:spacing w:line="560" w:lineRule="exact"/>
        <w:jc w:val="both"/>
        <w:rPr>
          <w:rFonts w:hint="eastAsia" w:ascii="宋体" w:hAnsi="宋体"/>
          <w:b/>
          <w:sz w:val="36"/>
          <w:szCs w:val="36"/>
        </w:rPr>
      </w:pPr>
    </w:p>
    <w:p w14:paraId="0999C68F">
      <w:pPr>
        <w:spacing w:line="560" w:lineRule="exact"/>
        <w:jc w:val="center"/>
        <w:rPr>
          <w:rFonts w:ascii="宋体" w:hAnsi="宋体"/>
          <w:b/>
          <w:sz w:val="36"/>
          <w:szCs w:val="36"/>
        </w:rPr>
      </w:pPr>
      <w:r>
        <w:rPr>
          <w:rFonts w:hint="eastAsia" w:ascii="宋体" w:hAnsi="宋体"/>
          <w:b/>
          <w:sz w:val="36"/>
          <w:szCs w:val="36"/>
        </w:rPr>
        <w:t>第二部分 辽宁省</w:t>
      </w:r>
      <w:r>
        <w:rPr>
          <w:rFonts w:hint="eastAsia" w:ascii="宋体" w:hAnsi="宋体"/>
          <w:b/>
          <w:sz w:val="36"/>
          <w:szCs w:val="36"/>
          <w:lang w:eastAsia="zh-CN"/>
        </w:rPr>
        <w:t>盘锦市文化馆</w:t>
      </w:r>
      <w:r>
        <w:rPr>
          <w:rFonts w:hint="eastAsia" w:ascii="宋体" w:hAnsi="宋体"/>
          <w:b/>
          <w:sz w:val="36"/>
          <w:szCs w:val="36"/>
        </w:rPr>
        <w:t>概况</w:t>
      </w:r>
    </w:p>
    <w:p w14:paraId="2C1B5E7C">
      <w:pPr>
        <w:spacing w:line="560" w:lineRule="exact"/>
        <w:ind w:firstLine="646" w:firstLineChars="200"/>
        <w:jc w:val="left"/>
        <w:rPr>
          <w:rFonts w:ascii="黑体" w:eastAsia="黑体"/>
          <w:sz w:val="32"/>
          <w:szCs w:val="32"/>
        </w:rPr>
      </w:pPr>
    </w:p>
    <w:p w14:paraId="46BB4267">
      <w:pPr>
        <w:spacing w:line="560" w:lineRule="exact"/>
        <w:ind w:firstLine="646" w:firstLineChars="200"/>
        <w:jc w:val="left"/>
        <w:rPr>
          <w:rFonts w:ascii="黑体" w:eastAsia="黑体"/>
          <w:sz w:val="32"/>
          <w:szCs w:val="32"/>
        </w:rPr>
      </w:pPr>
      <w:r>
        <w:rPr>
          <w:rFonts w:hint="eastAsia" w:ascii="黑体" w:eastAsia="黑体"/>
          <w:sz w:val="32"/>
          <w:szCs w:val="32"/>
        </w:rPr>
        <w:t>一、</w:t>
      </w:r>
      <w:r>
        <w:rPr>
          <w:rFonts w:hint="eastAsia" w:ascii="黑体" w:eastAsia="黑体"/>
          <w:sz w:val="32"/>
          <w:szCs w:val="32"/>
          <w:lang w:eastAsia="zh-CN"/>
        </w:rPr>
        <w:t>单位</w:t>
      </w:r>
      <w:r>
        <w:rPr>
          <w:rFonts w:hint="eastAsia" w:ascii="黑体" w:eastAsia="黑体"/>
          <w:sz w:val="32"/>
          <w:szCs w:val="32"/>
        </w:rPr>
        <w:t>职责</w:t>
      </w:r>
    </w:p>
    <w:p w14:paraId="310D5020">
      <w:pPr>
        <w:spacing w:line="240" w:lineRule="auto"/>
        <w:ind w:firstLine="1049" w:firstLineChars="325"/>
        <w:jc w:val="left"/>
        <w:rPr>
          <w:rFonts w:hint="default"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组织开展群众、少数民族文化和文艺作品的理论研究、收集整理、创作、普及、培训教育和交流活动；运用各种文化艺术手段，开展时事政策宣传和爱国主义、集体主义、社会主义教育，弘扬社会主义核心价值观。</w:t>
      </w:r>
    </w:p>
    <w:p w14:paraId="76DC9308">
      <w:pPr>
        <w:spacing w:line="560" w:lineRule="exact"/>
        <w:ind w:firstLine="646" w:firstLineChars="200"/>
        <w:jc w:val="left"/>
        <w:rPr>
          <w:rFonts w:ascii="黑体" w:eastAsia="黑体"/>
          <w:sz w:val="32"/>
          <w:szCs w:val="32"/>
        </w:rPr>
      </w:pPr>
      <w:r>
        <w:rPr>
          <w:rFonts w:hint="eastAsia" w:ascii="黑体" w:eastAsia="黑体"/>
          <w:sz w:val="32"/>
          <w:szCs w:val="32"/>
        </w:rPr>
        <w:t>二、机构设置</w:t>
      </w:r>
    </w:p>
    <w:p w14:paraId="0A74E0BE">
      <w:pPr>
        <w:spacing w:line="560" w:lineRule="exact"/>
        <w:ind w:firstLine="646" w:firstLineChars="200"/>
        <w:jc w:val="left"/>
        <w:rPr>
          <w:rFonts w:ascii="仿宋_GB2312" w:eastAsia="仿宋_GB2312"/>
          <w:b/>
          <w:sz w:val="32"/>
          <w:szCs w:val="32"/>
        </w:rPr>
      </w:pPr>
      <w:r>
        <w:rPr>
          <w:rFonts w:hint="eastAsia" w:ascii="仿宋_GB2312" w:eastAsia="仿宋_GB2312"/>
          <w:b/>
          <w:sz w:val="32"/>
          <w:szCs w:val="32"/>
        </w:rPr>
        <w:t>纳入辽宁省</w:t>
      </w:r>
      <w:r>
        <w:rPr>
          <w:rFonts w:hint="eastAsia" w:ascii="仿宋_GB2312" w:eastAsia="仿宋_GB2312"/>
          <w:b/>
          <w:sz w:val="32"/>
          <w:szCs w:val="32"/>
          <w:lang w:eastAsia="zh-CN"/>
        </w:rPr>
        <w:t>盘锦市文化馆</w:t>
      </w:r>
      <w:r>
        <w:rPr>
          <w:rFonts w:hint="eastAsia" w:ascii="仿宋_GB2312" w:eastAsia="仿宋_GB2312"/>
          <w:b/>
          <w:sz w:val="32"/>
          <w:szCs w:val="32"/>
          <w:lang w:val="en-US" w:eastAsia="zh-CN"/>
        </w:rPr>
        <w:t>2025</w:t>
      </w:r>
      <w:r>
        <w:rPr>
          <w:rFonts w:hint="eastAsia" w:ascii="仿宋_GB2312" w:eastAsia="仿宋_GB2312"/>
          <w:b/>
          <w:sz w:val="32"/>
          <w:szCs w:val="32"/>
        </w:rPr>
        <w:t>年预算编制范围的预算单位包括：</w:t>
      </w:r>
    </w:p>
    <w:p w14:paraId="5B167111">
      <w:pPr>
        <w:spacing w:line="560" w:lineRule="exact"/>
        <w:ind w:firstLine="646" w:firstLineChars="200"/>
        <w:jc w:val="left"/>
        <w:rPr>
          <w:rFonts w:ascii="黑体" w:eastAsia="黑体"/>
          <w:sz w:val="36"/>
          <w:szCs w:val="36"/>
        </w:rPr>
      </w:pPr>
      <w:r>
        <w:rPr>
          <w:rFonts w:hint="eastAsia" w:ascii="仿宋_GB2312" w:eastAsia="仿宋_GB2312"/>
          <w:sz w:val="32"/>
          <w:szCs w:val="32"/>
        </w:rPr>
        <w:t>1.辽宁省</w:t>
      </w:r>
      <w:r>
        <w:rPr>
          <w:rFonts w:hint="eastAsia" w:ascii="仿宋_GB2312" w:eastAsia="仿宋_GB2312"/>
          <w:sz w:val="32"/>
          <w:szCs w:val="32"/>
          <w:lang w:eastAsia="zh-CN"/>
        </w:rPr>
        <w:t>盘锦市文化馆</w:t>
      </w:r>
    </w:p>
    <w:p w14:paraId="4FA445D8">
      <w:pPr>
        <w:spacing w:line="560" w:lineRule="exact"/>
        <w:jc w:val="both"/>
        <w:rPr>
          <w:rFonts w:ascii="宋体" w:hAnsi="宋体"/>
          <w:b/>
          <w:sz w:val="36"/>
          <w:szCs w:val="36"/>
        </w:rPr>
      </w:pPr>
    </w:p>
    <w:p w14:paraId="5DFCF659">
      <w:pPr>
        <w:spacing w:line="560" w:lineRule="exact"/>
        <w:jc w:val="center"/>
        <w:rPr>
          <w:rFonts w:ascii="宋体" w:hAnsi="宋体"/>
          <w:b/>
          <w:sz w:val="36"/>
          <w:szCs w:val="36"/>
        </w:rPr>
      </w:pPr>
      <w:r>
        <w:rPr>
          <w:rFonts w:hint="eastAsia" w:ascii="宋体" w:hAnsi="宋体"/>
          <w:b/>
          <w:sz w:val="36"/>
          <w:szCs w:val="36"/>
        </w:rPr>
        <w:t>第三部分 辽宁省</w:t>
      </w:r>
      <w:r>
        <w:rPr>
          <w:rFonts w:hint="eastAsia" w:ascii="宋体" w:hAnsi="宋体"/>
          <w:b/>
          <w:sz w:val="36"/>
          <w:szCs w:val="36"/>
          <w:lang w:eastAsia="zh-CN"/>
        </w:rPr>
        <w:t>盘锦市文化馆</w:t>
      </w:r>
      <w:r>
        <w:rPr>
          <w:rFonts w:hint="eastAsia" w:ascii="宋体" w:hAnsi="宋体"/>
          <w:b/>
          <w:sz w:val="36"/>
          <w:szCs w:val="36"/>
          <w:lang w:val="en-US" w:eastAsia="zh-CN"/>
        </w:rPr>
        <w:t>2025</w:t>
      </w:r>
      <w:r>
        <w:rPr>
          <w:rFonts w:hint="eastAsia" w:ascii="宋体" w:hAnsi="宋体"/>
          <w:b/>
          <w:sz w:val="36"/>
          <w:szCs w:val="36"/>
        </w:rPr>
        <w:t>年预算情况说明</w:t>
      </w:r>
    </w:p>
    <w:p w14:paraId="5DD20F5B">
      <w:pPr>
        <w:spacing w:line="560" w:lineRule="exact"/>
        <w:jc w:val="center"/>
        <w:rPr>
          <w:rFonts w:ascii="宋体" w:hAnsi="宋体"/>
          <w:b/>
          <w:sz w:val="36"/>
          <w:szCs w:val="36"/>
        </w:rPr>
      </w:pPr>
    </w:p>
    <w:p w14:paraId="12F61223">
      <w:pPr>
        <w:spacing w:line="560" w:lineRule="exact"/>
        <w:ind w:firstLine="632" w:firstLineChars="196"/>
        <w:rPr>
          <w:rFonts w:ascii="黑体" w:hAnsi="黑体" w:eastAsia="黑体"/>
          <w:sz w:val="32"/>
          <w:szCs w:val="32"/>
          <w:highlight w:val="none"/>
        </w:rPr>
      </w:pPr>
      <w:r>
        <w:rPr>
          <w:rFonts w:hint="eastAsia" w:ascii="黑体" w:hAnsi="黑体" w:eastAsia="黑体"/>
          <w:sz w:val="32"/>
          <w:szCs w:val="32"/>
          <w:highlight w:val="none"/>
        </w:rPr>
        <w:t>一、综合预算收支指标情况</w:t>
      </w:r>
    </w:p>
    <w:p w14:paraId="461A23D0">
      <w:pPr>
        <w:spacing w:line="560" w:lineRule="exact"/>
        <w:ind w:firstLine="660"/>
        <w:rPr>
          <w:rFonts w:ascii="仿宋_GB2312" w:hAnsi="宋体" w:eastAsia="仿宋_GB2312"/>
          <w:sz w:val="32"/>
          <w:szCs w:val="32"/>
          <w:highlight w:val="none"/>
        </w:rPr>
      </w:pPr>
      <w:r>
        <w:rPr>
          <w:rFonts w:hint="eastAsia" w:ascii="楷体" w:hAnsi="楷体" w:eastAsia="楷体"/>
          <w:b/>
          <w:sz w:val="32"/>
          <w:szCs w:val="32"/>
          <w:highlight w:val="none"/>
        </w:rPr>
        <w:t>（一）收入预算</w:t>
      </w:r>
      <w:r>
        <w:rPr>
          <w:rFonts w:hint="eastAsia" w:ascii="楷体" w:hAnsi="楷体" w:eastAsia="楷体"/>
          <w:b/>
          <w:sz w:val="32"/>
          <w:szCs w:val="32"/>
          <w:highlight w:val="none"/>
          <w:lang w:val="en-US" w:eastAsia="zh-CN"/>
        </w:rPr>
        <w:t>497.55</w:t>
      </w:r>
      <w:r>
        <w:rPr>
          <w:rFonts w:hint="eastAsia" w:ascii="楷体" w:hAnsi="楷体" w:eastAsia="楷体"/>
          <w:b/>
          <w:sz w:val="32"/>
          <w:szCs w:val="32"/>
          <w:highlight w:val="none"/>
        </w:rPr>
        <w:t>万元，</w:t>
      </w:r>
      <w:r>
        <w:rPr>
          <w:rFonts w:hint="eastAsia" w:ascii="仿宋_GB2312" w:hAnsi="宋体" w:eastAsia="仿宋_GB2312"/>
          <w:sz w:val="32"/>
          <w:szCs w:val="32"/>
          <w:highlight w:val="none"/>
        </w:rPr>
        <w:t>其中：</w:t>
      </w:r>
    </w:p>
    <w:p w14:paraId="52455CA1">
      <w:pPr>
        <w:spacing w:line="560" w:lineRule="exact"/>
        <w:ind w:firstLine="660"/>
        <w:rPr>
          <w:rFonts w:ascii="仿宋_GB2312" w:hAnsi="宋体" w:eastAsia="仿宋_GB2312"/>
          <w:sz w:val="32"/>
          <w:szCs w:val="32"/>
          <w:highlight w:val="none"/>
        </w:rPr>
      </w:pPr>
      <w:r>
        <w:rPr>
          <w:rFonts w:hint="eastAsia" w:ascii="仿宋_GB2312" w:hAnsi="宋体" w:eastAsia="仿宋_GB2312"/>
          <w:sz w:val="32"/>
          <w:szCs w:val="32"/>
          <w:highlight w:val="none"/>
        </w:rPr>
        <w:t>1.一般公共预算拨款收入</w:t>
      </w:r>
      <w:r>
        <w:rPr>
          <w:rFonts w:hint="eastAsia" w:ascii="仿宋_GB2312" w:hAnsi="宋体" w:eastAsia="仿宋_GB2312"/>
          <w:sz w:val="32"/>
          <w:szCs w:val="32"/>
          <w:highlight w:val="none"/>
          <w:lang w:val="en-US" w:eastAsia="zh-CN"/>
        </w:rPr>
        <w:t>497.55</w:t>
      </w:r>
      <w:r>
        <w:rPr>
          <w:rFonts w:hint="eastAsia" w:ascii="仿宋_GB2312" w:hAnsi="宋体" w:eastAsia="仿宋_GB2312"/>
          <w:sz w:val="32"/>
          <w:szCs w:val="32"/>
          <w:highlight w:val="none"/>
        </w:rPr>
        <w:t>万元；</w:t>
      </w:r>
    </w:p>
    <w:p w14:paraId="71D6AD43">
      <w:pPr>
        <w:spacing w:line="560" w:lineRule="exact"/>
        <w:ind w:firstLine="660"/>
        <w:rPr>
          <w:rFonts w:ascii="仿宋_GB2312" w:hAnsi="宋体" w:eastAsia="仿宋_GB2312"/>
          <w:sz w:val="32"/>
          <w:szCs w:val="32"/>
          <w:highlight w:val="none"/>
        </w:rPr>
      </w:pPr>
      <w:r>
        <w:rPr>
          <w:rFonts w:hint="eastAsia" w:ascii="仿宋_GB2312" w:hAnsi="宋体" w:eastAsia="仿宋_GB2312"/>
          <w:sz w:val="32"/>
          <w:szCs w:val="32"/>
          <w:highlight w:val="none"/>
        </w:rPr>
        <w:t>2.政府性基金预算拨款收入</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万元；</w:t>
      </w:r>
    </w:p>
    <w:p w14:paraId="4E2E6B1D">
      <w:pPr>
        <w:spacing w:line="560" w:lineRule="exact"/>
        <w:ind w:left="647" w:leftChars="304" w:firstLine="16" w:firstLineChars="5"/>
        <w:rPr>
          <w:rFonts w:ascii="仿宋_GB2312" w:hAnsi="宋体" w:eastAsia="仿宋_GB2312"/>
          <w:sz w:val="32"/>
          <w:szCs w:val="32"/>
          <w:highlight w:val="none"/>
        </w:rPr>
      </w:pPr>
      <w:r>
        <w:rPr>
          <w:rFonts w:hint="eastAsia" w:ascii="仿宋_GB2312" w:hAnsi="宋体" w:eastAsia="仿宋_GB2312"/>
          <w:sz w:val="32"/>
          <w:szCs w:val="32"/>
          <w:highlight w:val="none"/>
        </w:rPr>
        <w:t>3.国有资本经营预算拨款收入</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万元；</w:t>
      </w:r>
    </w:p>
    <w:p w14:paraId="53F654B1">
      <w:pPr>
        <w:spacing w:line="560" w:lineRule="exact"/>
        <w:ind w:left="647" w:leftChars="304" w:firstLine="16" w:firstLineChars="5"/>
        <w:rPr>
          <w:rFonts w:ascii="仿宋_GB2312" w:hAnsi="宋体" w:eastAsia="仿宋_GB2312"/>
          <w:sz w:val="32"/>
          <w:szCs w:val="32"/>
          <w:highlight w:val="none"/>
        </w:rPr>
      </w:pPr>
      <w:r>
        <w:rPr>
          <w:rFonts w:hint="eastAsia" w:ascii="仿宋_GB2312" w:hAnsi="宋体" w:eastAsia="仿宋_GB2312"/>
          <w:sz w:val="32"/>
          <w:szCs w:val="32"/>
          <w:highlight w:val="none"/>
        </w:rPr>
        <w:t>4.财政专户管理资金收入</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万元；</w:t>
      </w:r>
    </w:p>
    <w:p w14:paraId="096765D6">
      <w:pPr>
        <w:spacing w:line="560" w:lineRule="exact"/>
        <w:ind w:firstLine="646" w:firstLineChars="200"/>
        <w:rPr>
          <w:rFonts w:ascii="仿宋_GB2312" w:eastAsia="仿宋_GB2312"/>
          <w:sz w:val="32"/>
          <w:szCs w:val="32"/>
          <w:highlight w:val="none"/>
        </w:rPr>
      </w:pPr>
      <w:r>
        <w:rPr>
          <w:rFonts w:hint="eastAsia" w:ascii="仿宋_GB2312" w:eastAsia="仿宋_GB2312" w:cs="仿宋_GB2312"/>
          <w:sz w:val="32"/>
          <w:szCs w:val="32"/>
          <w:highlight w:val="none"/>
        </w:rPr>
        <w:t>5.</w:t>
      </w:r>
      <w:r>
        <w:rPr>
          <w:rFonts w:hint="eastAsia" w:ascii="仿宋_GB2312" w:eastAsia="仿宋_GB2312"/>
          <w:sz w:val="32"/>
          <w:szCs w:val="32"/>
          <w:highlight w:val="none"/>
        </w:rPr>
        <w:t>单位资金收入</w:t>
      </w:r>
      <w:r>
        <w:rPr>
          <w:rFonts w:hint="eastAsia" w:ascii="仿宋_GB2312" w:hAnsi="宋体" w:eastAsia="仿宋_GB2312"/>
          <w:sz w:val="32"/>
          <w:szCs w:val="32"/>
          <w:highlight w:val="none"/>
          <w:lang w:val="en-US" w:eastAsia="zh-CN"/>
        </w:rPr>
        <w:t>0</w:t>
      </w:r>
      <w:r>
        <w:rPr>
          <w:rFonts w:hint="eastAsia" w:ascii="仿宋_GB2312" w:eastAsia="仿宋_GB2312"/>
          <w:sz w:val="32"/>
          <w:szCs w:val="32"/>
          <w:highlight w:val="none"/>
        </w:rPr>
        <w:t>万元</w:t>
      </w:r>
      <w:r>
        <w:rPr>
          <w:rFonts w:hint="eastAsia" w:ascii="仿宋_GB2312" w:eastAsia="仿宋_GB2312" w:cs="仿宋_GB2312"/>
          <w:sz w:val="32"/>
          <w:szCs w:val="32"/>
          <w:highlight w:val="none"/>
        </w:rPr>
        <w:t>，其中：事业收入</w:t>
      </w:r>
      <w:r>
        <w:rPr>
          <w:rFonts w:hint="eastAsia" w:ascii="仿宋_GB2312" w:hAnsi="宋体" w:eastAsia="仿宋_GB2312"/>
          <w:sz w:val="32"/>
          <w:szCs w:val="32"/>
          <w:highlight w:val="none"/>
          <w:lang w:val="en-US" w:eastAsia="zh-CN"/>
        </w:rPr>
        <w:t>0</w:t>
      </w:r>
      <w:r>
        <w:rPr>
          <w:rFonts w:hint="eastAsia" w:ascii="仿宋_GB2312" w:eastAsia="仿宋_GB2312" w:cs="仿宋_GB2312"/>
          <w:sz w:val="32"/>
          <w:szCs w:val="32"/>
          <w:highlight w:val="none"/>
        </w:rPr>
        <w:t>万元，事业单位经营收入</w:t>
      </w:r>
      <w:r>
        <w:rPr>
          <w:rFonts w:hint="eastAsia" w:ascii="仿宋_GB2312" w:hAnsi="宋体" w:eastAsia="仿宋_GB2312"/>
          <w:sz w:val="32"/>
          <w:szCs w:val="32"/>
          <w:highlight w:val="none"/>
          <w:lang w:val="en-US" w:eastAsia="zh-CN"/>
        </w:rPr>
        <w:t>0</w:t>
      </w:r>
      <w:r>
        <w:rPr>
          <w:rFonts w:hint="eastAsia" w:ascii="仿宋_GB2312" w:eastAsia="仿宋_GB2312" w:cs="仿宋_GB2312"/>
          <w:sz w:val="32"/>
          <w:szCs w:val="32"/>
          <w:highlight w:val="none"/>
        </w:rPr>
        <w:t>万元，上级补助收入</w:t>
      </w:r>
      <w:r>
        <w:rPr>
          <w:rFonts w:hint="eastAsia" w:ascii="仿宋_GB2312" w:hAnsi="宋体" w:eastAsia="仿宋_GB2312"/>
          <w:sz w:val="32"/>
          <w:szCs w:val="32"/>
          <w:highlight w:val="none"/>
          <w:lang w:val="en-US" w:eastAsia="zh-CN"/>
        </w:rPr>
        <w:t>0</w:t>
      </w:r>
      <w:r>
        <w:rPr>
          <w:rFonts w:hint="eastAsia" w:ascii="仿宋_GB2312" w:eastAsia="仿宋_GB2312" w:cs="仿宋_GB2312"/>
          <w:sz w:val="32"/>
          <w:szCs w:val="32"/>
          <w:highlight w:val="none"/>
        </w:rPr>
        <w:t>万元，附属单位上缴收入</w:t>
      </w:r>
      <w:r>
        <w:rPr>
          <w:rFonts w:hint="eastAsia" w:ascii="仿宋_GB2312" w:hAnsi="宋体" w:eastAsia="仿宋_GB2312"/>
          <w:sz w:val="32"/>
          <w:szCs w:val="32"/>
          <w:highlight w:val="none"/>
          <w:lang w:val="en-US" w:eastAsia="zh-CN"/>
        </w:rPr>
        <w:t>0</w:t>
      </w:r>
      <w:r>
        <w:rPr>
          <w:rFonts w:hint="eastAsia" w:ascii="仿宋_GB2312" w:eastAsia="仿宋_GB2312" w:cs="仿宋_GB2312"/>
          <w:sz w:val="32"/>
          <w:szCs w:val="32"/>
          <w:highlight w:val="none"/>
        </w:rPr>
        <w:t>万元，其他收入</w:t>
      </w:r>
      <w:r>
        <w:rPr>
          <w:rFonts w:hint="eastAsia" w:ascii="仿宋_GB2312" w:hAnsi="宋体" w:eastAsia="仿宋_GB2312"/>
          <w:sz w:val="32"/>
          <w:szCs w:val="32"/>
          <w:highlight w:val="none"/>
          <w:lang w:val="en-US" w:eastAsia="zh-CN"/>
        </w:rPr>
        <w:t>0</w:t>
      </w:r>
      <w:r>
        <w:rPr>
          <w:rFonts w:hint="eastAsia" w:ascii="仿宋_GB2312" w:eastAsia="仿宋_GB2312" w:cs="仿宋_GB2312"/>
          <w:sz w:val="32"/>
          <w:szCs w:val="32"/>
          <w:highlight w:val="none"/>
        </w:rPr>
        <w:t>万元；</w:t>
      </w:r>
    </w:p>
    <w:p w14:paraId="0D0BEAE6">
      <w:pPr>
        <w:spacing w:line="560" w:lineRule="exact"/>
        <w:ind w:firstLine="646" w:firstLineChars="200"/>
        <w:rPr>
          <w:rFonts w:ascii="仿宋_GB2312" w:hAnsi="宋体" w:eastAsia="仿宋_GB2312"/>
          <w:sz w:val="32"/>
          <w:szCs w:val="32"/>
          <w:highlight w:val="none"/>
        </w:rPr>
      </w:pPr>
      <w:r>
        <w:rPr>
          <w:rFonts w:hint="eastAsia" w:ascii="仿宋_GB2312" w:eastAsia="仿宋_GB2312" w:cs="仿宋_GB2312"/>
          <w:sz w:val="32"/>
          <w:szCs w:val="32"/>
          <w:highlight w:val="none"/>
        </w:rPr>
        <w:t>6.</w:t>
      </w:r>
      <w:r>
        <w:rPr>
          <w:rFonts w:hint="eastAsia" w:ascii="仿宋_GB2312" w:eastAsia="仿宋_GB2312"/>
          <w:sz w:val="32"/>
          <w:szCs w:val="32"/>
          <w:highlight w:val="none"/>
        </w:rPr>
        <w:t>上年结转结余</w:t>
      </w:r>
      <w:r>
        <w:rPr>
          <w:rFonts w:hint="eastAsia" w:ascii="仿宋_GB2312" w:hAnsi="宋体" w:eastAsia="仿宋_GB2312"/>
          <w:sz w:val="32"/>
          <w:szCs w:val="32"/>
          <w:highlight w:val="none"/>
          <w:lang w:val="en-US" w:eastAsia="zh-CN"/>
        </w:rPr>
        <w:t>0</w:t>
      </w:r>
      <w:r>
        <w:rPr>
          <w:rFonts w:hint="eastAsia" w:ascii="仿宋_GB2312" w:eastAsia="仿宋_GB2312"/>
          <w:sz w:val="32"/>
          <w:szCs w:val="32"/>
          <w:highlight w:val="none"/>
        </w:rPr>
        <w:t>万元</w:t>
      </w:r>
      <w:r>
        <w:rPr>
          <w:rFonts w:hint="eastAsia" w:ascii="仿宋_GB2312" w:eastAsia="仿宋_GB2312" w:cs="仿宋_GB2312"/>
          <w:sz w:val="32"/>
          <w:szCs w:val="32"/>
          <w:highlight w:val="none"/>
        </w:rPr>
        <w:t>，其中上年</w:t>
      </w:r>
      <w:r>
        <w:rPr>
          <w:rFonts w:hint="eastAsia" w:ascii="仿宋_GB2312" w:eastAsia="仿宋_GB2312"/>
          <w:sz w:val="32"/>
          <w:szCs w:val="32"/>
          <w:highlight w:val="none"/>
        </w:rPr>
        <w:t>财政专户管理资金超收收入</w:t>
      </w:r>
      <w:r>
        <w:rPr>
          <w:rFonts w:hint="eastAsia" w:ascii="仿宋_GB2312" w:hAnsi="宋体" w:eastAsia="仿宋_GB2312"/>
          <w:sz w:val="32"/>
          <w:szCs w:val="32"/>
          <w:highlight w:val="none"/>
          <w:lang w:val="en-US" w:eastAsia="zh-CN"/>
        </w:rPr>
        <w:t>0</w:t>
      </w:r>
      <w:r>
        <w:rPr>
          <w:rFonts w:hint="eastAsia" w:ascii="仿宋_GB2312" w:eastAsia="仿宋_GB2312" w:cs="仿宋_GB2312"/>
          <w:sz w:val="32"/>
          <w:szCs w:val="32"/>
          <w:highlight w:val="none"/>
        </w:rPr>
        <w:t>万元，政府性基金预算超收收入</w:t>
      </w:r>
      <w:r>
        <w:rPr>
          <w:rFonts w:hint="eastAsia" w:ascii="仿宋_GB2312" w:hAnsi="宋体" w:eastAsia="仿宋_GB2312"/>
          <w:sz w:val="32"/>
          <w:szCs w:val="32"/>
          <w:highlight w:val="none"/>
          <w:lang w:val="en-US" w:eastAsia="zh-CN"/>
        </w:rPr>
        <w:t>0</w:t>
      </w:r>
      <w:r>
        <w:rPr>
          <w:rFonts w:hint="eastAsia" w:ascii="仿宋_GB2312" w:eastAsia="仿宋_GB2312" w:cs="仿宋_GB2312"/>
          <w:sz w:val="32"/>
          <w:szCs w:val="32"/>
          <w:highlight w:val="none"/>
        </w:rPr>
        <w:t>万元</w:t>
      </w:r>
      <w:r>
        <w:rPr>
          <w:rFonts w:hint="eastAsia" w:ascii="仿宋_GB2312" w:eastAsia="仿宋_GB2312" w:cs="仿宋_GB2312"/>
          <w:sz w:val="32"/>
          <w:szCs w:val="32"/>
          <w:highlight w:val="none"/>
          <w:lang w:eastAsia="zh-CN"/>
        </w:rPr>
        <w:t>，</w:t>
      </w:r>
      <w:r>
        <w:rPr>
          <w:rFonts w:hint="eastAsia" w:ascii="Times New Roman" w:hAnsi="Times New Roman" w:eastAsia="仿宋_GB2312" w:cs="Times New Roman"/>
          <w:kern w:val="2"/>
          <w:sz w:val="32"/>
          <w:szCs w:val="32"/>
          <w:highlight w:val="none"/>
          <w:lang w:val="en-US" w:eastAsia="zh-CN" w:bidi="ar"/>
        </w:rPr>
        <w:t>单位资金超收收入</w:t>
      </w:r>
      <w:r>
        <w:rPr>
          <w:rFonts w:hint="eastAsia" w:ascii="仿宋_GB2312" w:hAnsi="宋体" w:eastAsia="仿宋_GB2312"/>
          <w:sz w:val="32"/>
          <w:szCs w:val="32"/>
          <w:highlight w:val="none"/>
          <w:lang w:val="en-US" w:eastAsia="zh-CN"/>
        </w:rPr>
        <w:t>0</w:t>
      </w:r>
      <w:r>
        <w:rPr>
          <w:rFonts w:hint="eastAsia" w:ascii="Times New Roman" w:hAnsi="Times New Roman" w:eastAsia="仿宋_GB2312" w:cs="Times New Roman"/>
          <w:kern w:val="2"/>
          <w:sz w:val="32"/>
          <w:szCs w:val="32"/>
          <w:highlight w:val="none"/>
          <w:lang w:val="en-US" w:eastAsia="zh-CN" w:bidi="ar"/>
        </w:rPr>
        <w:t>万元</w:t>
      </w:r>
      <w:r>
        <w:rPr>
          <w:rFonts w:hint="eastAsia" w:ascii="仿宋_GB2312" w:hAnsi="仿宋_GB2312" w:eastAsia="仿宋_GB2312" w:cs="仿宋_GB2312"/>
          <w:sz w:val="32"/>
          <w:szCs w:val="32"/>
          <w:highlight w:val="none"/>
        </w:rPr>
        <w:t>。</w:t>
      </w:r>
    </w:p>
    <w:p w14:paraId="2A79AE85">
      <w:pPr>
        <w:spacing w:line="560" w:lineRule="exact"/>
        <w:ind w:left="647" w:leftChars="304" w:firstLine="16" w:firstLineChars="5"/>
        <w:rPr>
          <w:rFonts w:ascii="仿宋_GB2312" w:hAnsi="宋体" w:eastAsia="仿宋_GB2312"/>
          <w:sz w:val="32"/>
          <w:szCs w:val="32"/>
          <w:highlight w:val="none"/>
        </w:rPr>
      </w:pPr>
      <w:r>
        <w:rPr>
          <w:rFonts w:hint="eastAsia" w:ascii="楷体" w:hAnsi="楷体" w:eastAsia="楷体"/>
          <w:b/>
          <w:sz w:val="32"/>
          <w:szCs w:val="32"/>
          <w:highlight w:val="none"/>
        </w:rPr>
        <w:t>（二）支出预算</w:t>
      </w:r>
      <w:r>
        <w:rPr>
          <w:rFonts w:hint="eastAsia" w:ascii="楷体" w:hAnsi="楷体" w:eastAsia="楷体"/>
          <w:b/>
          <w:sz w:val="32"/>
          <w:szCs w:val="32"/>
          <w:highlight w:val="none"/>
          <w:lang w:val="en-US" w:eastAsia="zh-CN"/>
        </w:rPr>
        <w:t>497.55</w:t>
      </w:r>
      <w:r>
        <w:rPr>
          <w:rFonts w:hint="eastAsia" w:ascii="楷体" w:hAnsi="楷体" w:eastAsia="楷体"/>
          <w:b/>
          <w:sz w:val="32"/>
          <w:szCs w:val="32"/>
          <w:highlight w:val="none"/>
        </w:rPr>
        <w:t>万元，</w:t>
      </w:r>
      <w:r>
        <w:rPr>
          <w:rFonts w:hint="eastAsia" w:ascii="仿宋_GB2312" w:hAnsi="宋体" w:eastAsia="仿宋_GB2312"/>
          <w:sz w:val="32"/>
          <w:szCs w:val="32"/>
          <w:highlight w:val="none"/>
        </w:rPr>
        <w:t>其中：</w:t>
      </w:r>
    </w:p>
    <w:p w14:paraId="08C646D1">
      <w:pPr>
        <w:autoSpaceDE w:val="0"/>
        <w:spacing w:line="560" w:lineRule="exact"/>
        <w:ind w:firstLine="646" w:firstLineChars="200"/>
        <w:rPr>
          <w:rFonts w:ascii="仿宋_GB2312" w:eastAsia="仿宋_GB2312"/>
          <w:sz w:val="32"/>
          <w:szCs w:val="32"/>
          <w:highlight w:val="none"/>
        </w:rPr>
      </w:pPr>
      <w:r>
        <w:rPr>
          <w:rFonts w:hint="eastAsia" w:ascii="仿宋_GB2312" w:eastAsia="仿宋_GB2312"/>
          <w:sz w:val="32"/>
          <w:szCs w:val="32"/>
          <w:highlight w:val="none"/>
        </w:rPr>
        <w:t>1.基本支出</w:t>
      </w:r>
      <w:r>
        <w:rPr>
          <w:rFonts w:hint="eastAsia" w:ascii="仿宋_GB2312" w:hAnsi="宋体" w:eastAsia="仿宋_GB2312"/>
          <w:sz w:val="32"/>
          <w:szCs w:val="32"/>
          <w:highlight w:val="none"/>
          <w:lang w:val="en-US" w:eastAsia="zh-CN"/>
        </w:rPr>
        <w:t>466.55</w:t>
      </w:r>
      <w:r>
        <w:rPr>
          <w:rFonts w:hint="eastAsia" w:ascii="仿宋_GB2312" w:hAnsi="宋体" w:eastAsia="仿宋_GB2312"/>
          <w:sz w:val="32"/>
          <w:szCs w:val="32"/>
          <w:highlight w:val="none"/>
        </w:rPr>
        <w:t>万元</w:t>
      </w:r>
      <w:r>
        <w:rPr>
          <w:rFonts w:hint="eastAsia" w:ascii="仿宋_GB2312" w:eastAsia="仿宋_GB2312"/>
          <w:sz w:val="32"/>
          <w:szCs w:val="32"/>
          <w:highlight w:val="none"/>
        </w:rPr>
        <w:t>；</w:t>
      </w:r>
    </w:p>
    <w:p w14:paraId="7E09E88D">
      <w:pPr>
        <w:autoSpaceDE w:val="0"/>
        <w:spacing w:line="560" w:lineRule="exact"/>
        <w:ind w:firstLine="646" w:firstLineChars="200"/>
        <w:rPr>
          <w:rFonts w:ascii="仿宋_GB2312" w:eastAsia="仿宋_GB2312"/>
          <w:sz w:val="32"/>
          <w:szCs w:val="32"/>
          <w:highlight w:val="none"/>
        </w:rPr>
      </w:pPr>
      <w:r>
        <w:rPr>
          <w:rFonts w:hint="eastAsia" w:ascii="仿宋_GB2312" w:eastAsia="仿宋_GB2312"/>
          <w:sz w:val="32"/>
          <w:szCs w:val="32"/>
          <w:highlight w:val="none"/>
        </w:rPr>
        <w:t>2.项目支出</w:t>
      </w:r>
      <w:r>
        <w:rPr>
          <w:rFonts w:hint="eastAsia" w:ascii="仿宋_GB2312" w:hAnsi="宋体" w:eastAsia="仿宋_GB2312"/>
          <w:sz w:val="32"/>
          <w:szCs w:val="32"/>
          <w:highlight w:val="none"/>
          <w:lang w:val="en-US" w:eastAsia="zh-CN"/>
        </w:rPr>
        <w:t>31.00</w:t>
      </w:r>
      <w:r>
        <w:rPr>
          <w:rFonts w:hint="eastAsia" w:ascii="仿宋_GB2312" w:eastAsia="仿宋_GB2312"/>
          <w:sz w:val="32"/>
          <w:szCs w:val="32"/>
          <w:highlight w:val="none"/>
        </w:rPr>
        <w:t>万元。</w:t>
      </w:r>
    </w:p>
    <w:p w14:paraId="7BD964C9">
      <w:pPr>
        <w:spacing w:line="480" w:lineRule="auto"/>
        <w:ind w:firstLine="646" w:firstLineChars="200"/>
        <w:jc w:val="distribute"/>
        <w:rPr>
          <w:rFonts w:ascii="仿宋_GB2312" w:eastAsia="仿宋_GB2312" w:cs="仿宋_GB2312"/>
          <w:sz w:val="32"/>
          <w:szCs w:val="32"/>
          <w:highlight w:val="none"/>
        </w:rPr>
      </w:pPr>
      <w:r>
        <w:rPr>
          <w:rFonts w:hint="eastAsia" w:ascii="仿宋_GB2312" w:eastAsia="仿宋_GB2312" w:cs="仿宋_GB2312"/>
          <w:sz w:val="32"/>
          <w:szCs w:val="32"/>
          <w:highlight w:val="none"/>
        </w:rPr>
        <w:t>在支出预算中债务支出</w:t>
      </w:r>
      <w:r>
        <w:rPr>
          <w:rFonts w:hint="eastAsia" w:ascii="仿宋_GB2312" w:hAnsi="宋体" w:eastAsia="仿宋_GB2312"/>
          <w:sz w:val="32"/>
          <w:szCs w:val="32"/>
          <w:highlight w:val="none"/>
          <w:lang w:val="en-US" w:eastAsia="zh-CN"/>
        </w:rPr>
        <w:t>0</w:t>
      </w:r>
      <w:r>
        <w:rPr>
          <w:rFonts w:hint="eastAsia" w:ascii="仿宋_GB2312" w:eastAsia="仿宋_GB2312" w:cs="仿宋_GB2312"/>
          <w:sz w:val="32"/>
          <w:szCs w:val="32"/>
          <w:highlight w:val="none"/>
        </w:rPr>
        <w:t>万元；政府采购支出</w:t>
      </w:r>
    </w:p>
    <w:p w14:paraId="65299498">
      <w:pPr>
        <w:spacing w:line="480" w:lineRule="auto"/>
        <w:rPr>
          <w:rFonts w:ascii="仿宋_GB2312" w:eastAsia="仿宋_GB2312" w:cs="仿宋_GB2312"/>
          <w:sz w:val="32"/>
          <w:szCs w:val="32"/>
          <w:highlight w:val="none"/>
        </w:rPr>
      </w:pPr>
      <w:r>
        <w:rPr>
          <w:rFonts w:hint="eastAsia" w:ascii="仿宋_GB2312" w:hAnsi="宋体" w:eastAsia="仿宋_GB2312"/>
          <w:sz w:val="32"/>
          <w:szCs w:val="32"/>
          <w:highlight w:val="none"/>
          <w:lang w:val="en-US" w:eastAsia="zh-CN"/>
        </w:rPr>
        <w:t>0</w:t>
      </w:r>
      <w:r>
        <w:rPr>
          <w:rFonts w:hint="eastAsia" w:ascii="仿宋_GB2312" w:eastAsia="仿宋_GB2312" w:cs="仿宋_GB2312"/>
          <w:sz w:val="32"/>
          <w:szCs w:val="32"/>
          <w:highlight w:val="none"/>
        </w:rPr>
        <w:t>万元；政府购买服务支出</w:t>
      </w:r>
      <w:r>
        <w:rPr>
          <w:rFonts w:hint="eastAsia" w:ascii="仿宋_GB2312" w:hAnsi="宋体" w:eastAsia="仿宋_GB2312"/>
          <w:sz w:val="32"/>
          <w:szCs w:val="32"/>
          <w:highlight w:val="none"/>
          <w:lang w:val="en-US" w:eastAsia="zh-CN"/>
        </w:rPr>
        <w:t>0</w:t>
      </w:r>
      <w:r>
        <w:rPr>
          <w:rFonts w:hint="eastAsia" w:ascii="仿宋_GB2312" w:eastAsia="仿宋_GB2312" w:cs="仿宋_GB2312"/>
          <w:sz w:val="32"/>
          <w:szCs w:val="32"/>
          <w:highlight w:val="none"/>
        </w:rPr>
        <w:t>万元；</w:t>
      </w:r>
      <w:r>
        <w:rPr>
          <w:rFonts w:hint="eastAsia" w:ascii="仿宋_GB2312" w:eastAsia="仿宋_GB2312" w:cs="仿宋_GB2312"/>
          <w:color w:val="auto"/>
          <w:sz w:val="32"/>
          <w:szCs w:val="32"/>
          <w:highlight w:val="none"/>
        </w:rPr>
        <w:t>纳入预算绩效管理的特定目标类</w:t>
      </w:r>
      <w:r>
        <w:rPr>
          <w:rFonts w:hint="eastAsia" w:ascii="仿宋_GB2312" w:eastAsia="仿宋_GB2312" w:cs="仿宋_GB2312"/>
          <w:color w:val="auto"/>
          <w:sz w:val="32"/>
          <w:szCs w:val="32"/>
          <w:highlight w:val="none"/>
          <w:lang w:eastAsia="zh-CN"/>
        </w:rPr>
        <w:t>和其他运转类</w:t>
      </w:r>
      <w:r>
        <w:rPr>
          <w:rFonts w:hint="eastAsia" w:ascii="仿宋_GB2312" w:eastAsia="仿宋_GB2312" w:cs="仿宋_GB2312"/>
          <w:color w:val="auto"/>
          <w:sz w:val="32"/>
          <w:szCs w:val="32"/>
          <w:highlight w:val="none"/>
        </w:rPr>
        <w:t>项目共</w:t>
      </w:r>
      <w:r>
        <w:rPr>
          <w:rFonts w:hint="eastAsia" w:ascii="仿宋_GB2312" w:hAnsi="宋体" w:eastAsia="仿宋_GB2312"/>
          <w:color w:val="auto"/>
          <w:sz w:val="32"/>
          <w:szCs w:val="32"/>
          <w:highlight w:val="none"/>
          <w:lang w:val="en-US" w:eastAsia="zh-CN"/>
        </w:rPr>
        <w:t>3</w:t>
      </w:r>
      <w:r>
        <w:rPr>
          <w:rFonts w:hint="eastAsia" w:ascii="仿宋_GB2312" w:eastAsia="仿宋_GB2312" w:cs="仿宋_GB2312"/>
          <w:color w:val="auto"/>
          <w:sz w:val="32"/>
          <w:szCs w:val="32"/>
          <w:highlight w:val="none"/>
        </w:rPr>
        <w:t>个</w:t>
      </w:r>
      <w:r>
        <w:rPr>
          <w:rFonts w:hint="eastAsia" w:ascii="仿宋_GB2312" w:eastAsia="仿宋_GB2312" w:cs="仿宋_GB2312"/>
          <w:sz w:val="32"/>
          <w:szCs w:val="32"/>
          <w:highlight w:val="none"/>
        </w:rPr>
        <w:t>，涉及资金</w:t>
      </w:r>
      <w:r>
        <w:rPr>
          <w:rFonts w:hint="eastAsia" w:ascii="仿宋_GB2312" w:hAnsi="宋体" w:eastAsia="仿宋_GB2312"/>
          <w:sz w:val="32"/>
          <w:szCs w:val="32"/>
          <w:highlight w:val="none"/>
          <w:lang w:val="en-US" w:eastAsia="zh-CN"/>
        </w:rPr>
        <w:t>31.00</w:t>
      </w:r>
      <w:r>
        <w:rPr>
          <w:rFonts w:hint="eastAsia" w:ascii="仿宋_GB2312" w:eastAsia="仿宋_GB2312" w:cs="仿宋_GB2312"/>
          <w:sz w:val="32"/>
          <w:szCs w:val="32"/>
          <w:highlight w:val="none"/>
        </w:rPr>
        <w:t xml:space="preserve">万元。 </w:t>
      </w:r>
    </w:p>
    <w:p w14:paraId="3446FD58">
      <w:pPr>
        <w:spacing w:line="560" w:lineRule="exact"/>
        <w:ind w:firstLine="646" w:firstLineChars="200"/>
        <w:rPr>
          <w:rFonts w:ascii="黑体" w:hAnsi="黑体" w:eastAsia="黑体"/>
          <w:sz w:val="32"/>
          <w:szCs w:val="32"/>
          <w:highlight w:val="none"/>
        </w:rPr>
      </w:pPr>
      <w:r>
        <w:rPr>
          <w:rFonts w:hint="eastAsia" w:ascii="黑体" w:hAnsi="黑体" w:eastAsia="黑体"/>
          <w:sz w:val="32"/>
          <w:szCs w:val="32"/>
          <w:highlight w:val="none"/>
          <w:lang w:val="en-US" w:eastAsia="zh-CN"/>
        </w:rPr>
        <w:t>2025</w:t>
      </w:r>
      <w:r>
        <w:rPr>
          <w:rFonts w:hint="eastAsia" w:ascii="黑体" w:hAnsi="黑体" w:eastAsia="黑体"/>
          <w:sz w:val="32"/>
          <w:szCs w:val="32"/>
          <w:highlight w:val="none"/>
        </w:rPr>
        <w:t>年预算收支比</w:t>
      </w:r>
      <w:r>
        <w:rPr>
          <w:rFonts w:hint="eastAsia" w:ascii="黑体" w:hAnsi="黑体" w:eastAsia="黑体"/>
          <w:sz w:val="32"/>
          <w:szCs w:val="32"/>
          <w:highlight w:val="none"/>
          <w:lang w:eastAsia="zh-CN"/>
        </w:rPr>
        <w:t>上</w:t>
      </w:r>
      <w:r>
        <w:rPr>
          <w:rFonts w:hint="eastAsia" w:ascii="黑体" w:hAnsi="黑体" w:eastAsia="黑体"/>
          <w:sz w:val="32"/>
          <w:szCs w:val="32"/>
          <w:highlight w:val="none"/>
        </w:rPr>
        <w:t>年增加</w:t>
      </w:r>
      <w:r>
        <w:rPr>
          <w:rFonts w:hint="eastAsia" w:ascii="黑体" w:hAnsi="黑体" w:eastAsia="黑体"/>
          <w:sz w:val="32"/>
          <w:szCs w:val="32"/>
          <w:highlight w:val="none"/>
          <w:lang w:val="en-US" w:eastAsia="zh-CN"/>
        </w:rPr>
        <w:t>0.25</w:t>
      </w:r>
      <w:r>
        <w:rPr>
          <w:rFonts w:hint="eastAsia" w:ascii="黑体" w:hAnsi="黑体" w:eastAsia="黑体"/>
          <w:sz w:val="32"/>
          <w:szCs w:val="32"/>
          <w:highlight w:val="none"/>
        </w:rPr>
        <w:t>万元，增减变化的主要原因为</w:t>
      </w:r>
      <w:r>
        <w:rPr>
          <w:rFonts w:hint="eastAsia" w:ascii="黑体" w:hAnsi="黑体" w:eastAsia="黑体"/>
          <w:sz w:val="32"/>
          <w:szCs w:val="32"/>
          <w:highlight w:val="none"/>
          <w:lang w:eastAsia="zh-CN"/>
        </w:rPr>
        <w:t>人员经费增加</w:t>
      </w:r>
      <w:r>
        <w:rPr>
          <w:rFonts w:hint="eastAsia" w:ascii="黑体" w:hAnsi="黑体" w:eastAsia="黑体"/>
          <w:sz w:val="32"/>
          <w:szCs w:val="32"/>
          <w:highlight w:val="none"/>
        </w:rPr>
        <w:t>。</w:t>
      </w:r>
    </w:p>
    <w:p w14:paraId="32D249B7">
      <w:pPr>
        <w:spacing w:line="560" w:lineRule="exact"/>
        <w:ind w:firstLine="646" w:firstLineChars="200"/>
        <w:rPr>
          <w:rFonts w:ascii="黑体" w:hAnsi="黑体" w:eastAsia="黑体"/>
          <w:sz w:val="32"/>
          <w:szCs w:val="32"/>
        </w:rPr>
      </w:pPr>
      <w:r>
        <w:rPr>
          <w:rFonts w:hint="eastAsia" w:ascii="黑体" w:hAnsi="黑体" w:eastAsia="黑体"/>
          <w:sz w:val="32"/>
          <w:szCs w:val="32"/>
        </w:rPr>
        <w:t>二、</w:t>
      </w:r>
      <w:r>
        <w:rPr>
          <w:rFonts w:hint="eastAsia" w:ascii="黑体" w:hAnsi="黑体" w:eastAsia="黑体"/>
          <w:sz w:val="32"/>
          <w:szCs w:val="32"/>
          <w:lang w:eastAsia="zh-CN"/>
        </w:rPr>
        <w:t>单位</w:t>
      </w:r>
      <w:r>
        <w:rPr>
          <w:rFonts w:hint="eastAsia" w:ascii="黑体" w:hAnsi="黑体" w:eastAsia="黑体"/>
          <w:sz w:val="32"/>
          <w:szCs w:val="32"/>
        </w:rPr>
        <w:t>管理专项资金情况</w:t>
      </w:r>
    </w:p>
    <w:p w14:paraId="47703508">
      <w:pPr>
        <w:spacing w:line="560" w:lineRule="exact"/>
        <w:ind w:firstLine="646"/>
        <w:rPr>
          <w:rFonts w:ascii="黑体" w:hAnsi="黑体" w:eastAsia="黑体" w:cs="黑体"/>
          <w:spacing w:val="-2"/>
          <w:kern w:val="0"/>
          <w:sz w:val="32"/>
          <w:szCs w:val="32"/>
          <w:highlight w:val="green"/>
        </w:rPr>
      </w:pPr>
      <w:r>
        <w:rPr>
          <w:rFonts w:hint="eastAsia" w:ascii="仿宋_GB2312" w:hAnsi="宋体" w:eastAsia="仿宋_GB2312"/>
          <w:sz w:val="32"/>
          <w:szCs w:val="32"/>
          <w:lang w:val="en-US" w:eastAsia="zh-CN"/>
        </w:rPr>
        <w:t>2025</w:t>
      </w:r>
      <w:r>
        <w:rPr>
          <w:rFonts w:hint="eastAsia" w:ascii="仿宋_GB2312" w:hAnsi="宋体" w:eastAsia="仿宋_GB2312"/>
          <w:sz w:val="32"/>
          <w:szCs w:val="32"/>
        </w:rPr>
        <w:t>年，辽宁省</w:t>
      </w:r>
      <w:r>
        <w:rPr>
          <w:rFonts w:hint="eastAsia" w:ascii="仿宋_GB2312" w:hAnsi="宋体" w:eastAsia="仿宋_GB2312"/>
          <w:sz w:val="32"/>
          <w:szCs w:val="32"/>
          <w:lang w:eastAsia="zh-CN"/>
        </w:rPr>
        <w:t>盘锦市文化馆</w:t>
      </w:r>
      <w:r>
        <w:rPr>
          <w:rFonts w:hint="eastAsia" w:ascii="仿宋_GB2312" w:hAnsi="宋体" w:eastAsia="仿宋_GB2312"/>
          <w:sz w:val="32"/>
          <w:szCs w:val="32"/>
        </w:rPr>
        <w:t>管理专项资金共</w:t>
      </w:r>
      <w:r>
        <w:rPr>
          <w:rFonts w:hint="eastAsia" w:ascii="仿宋_GB2312" w:hAnsi="宋体" w:eastAsia="仿宋_GB2312"/>
          <w:sz w:val="32"/>
          <w:szCs w:val="32"/>
          <w:lang w:val="en-US" w:eastAsia="zh-CN"/>
        </w:rPr>
        <w:t>3</w:t>
      </w:r>
      <w:r>
        <w:rPr>
          <w:rFonts w:hint="eastAsia" w:ascii="仿宋_GB2312" w:hAnsi="宋体" w:eastAsia="仿宋_GB2312"/>
          <w:sz w:val="32"/>
          <w:szCs w:val="32"/>
        </w:rPr>
        <w:t>个，</w:t>
      </w:r>
      <w:r>
        <w:rPr>
          <w:rFonts w:hint="eastAsia" w:ascii="仿宋_GB2312" w:hAnsi="仿宋_GB2312" w:eastAsia="仿宋_GB2312"/>
          <w:spacing w:val="-2"/>
          <w:kern w:val="0"/>
          <w:sz w:val="32"/>
          <w:szCs w:val="32"/>
        </w:rPr>
        <w:t>涉及资金</w:t>
      </w:r>
      <w:r>
        <w:rPr>
          <w:rFonts w:hint="eastAsia" w:ascii="仿宋_GB2312" w:hAnsi="宋体" w:eastAsia="仿宋_GB2312"/>
          <w:sz w:val="32"/>
          <w:szCs w:val="32"/>
          <w:lang w:val="en-US" w:eastAsia="zh-CN"/>
        </w:rPr>
        <w:t>31.00</w:t>
      </w:r>
      <w:r>
        <w:rPr>
          <w:rFonts w:hint="eastAsia" w:ascii="仿宋_GB2312" w:hAnsi="仿宋_GB2312" w:eastAsia="仿宋_GB2312"/>
          <w:spacing w:val="-2"/>
          <w:kern w:val="0"/>
          <w:sz w:val="32"/>
          <w:szCs w:val="32"/>
        </w:rPr>
        <w:t>万元。其中：</w:t>
      </w:r>
      <w:r>
        <w:rPr>
          <w:rFonts w:hint="eastAsia" w:ascii="仿宋_GB2312" w:hAnsi="宋体" w:eastAsia="仿宋_GB2312"/>
          <w:sz w:val="32"/>
          <w:szCs w:val="32"/>
          <w:lang w:eastAsia="zh-CN"/>
        </w:rPr>
        <w:t>文化大院绿地养护费</w:t>
      </w:r>
      <w:r>
        <w:rPr>
          <w:rFonts w:hint="eastAsia" w:ascii="仿宋_GB2312" w:hAnsi="仿宋_GB2312" w:eastAsia="仿宋_GB2312"/>
          <w:spacing w:val="-2"/>
          <w:kern w:val="0"/>
          <w:sz w:val="32"/>
          <w:szCs w:val="32"/>
        </w:rPr>
        <w:t>项目</w:t>
      </w:r>
      <w:r>
        <w:rPr>
          <w:rFonts w:hint="eastAsia" w:ascii="仿宋_GB2312" w:hAnsi="宋体" w:eastAsia="仿宋_GB2312"/>
          <w:sz w:val="32"/>
          <w:szCs w:val="32"/>
          <w:lang w:val="en-US" w:eastAsia="zh-CN"/>
        </w:rPr>
        <w:t>1.00</w:t>
      </w:r>
      <w:r>
        <w:rPr>
          <w:rFonts w:hint="eastAsia" w:ascii="仿宋_GB2312" w:hAnsi="仿宋_GB2312" w:eastAsia="仿宋_GB2312"/>
          <w:spacing w:val="-2"/>
          <w:kern w:val="0"/>
          <w:sz w:val="32"/>
          <w:szCs w:val="32"/>
        </w:rPr>
        <w:t>万元；</w:t>
      </w:r>
      <w:r>
        <w:rPr>
          <w:rFonts w:hint="eastAsia" w:ascii="仿宋_GB2312" w:hAnsi="宋体" w:eastAsia="仿宋_GB2312"/>
          <w:sz w:val="32"/>
          <w:szCs w:val="32"/>
          <w:lang w:eastAsia="zh-CN"/>
        </w:rPr>
        <w:t>公共文化馆免费开放补助经费</w:t>
      </w:r>
      <w:r>
        <w:rPr>
          <w:rFonts w:hint="eastAsia" w:ascii="仿宋_GB2312" w:hAnsi="仿宋_GB2312" w:eastAsia="仿宋_GB2312"/>
          <w:spacing w:val="-2"/>
          <w:kern w:val="0"/>
          <w:sz w:val="32"/>
          <w:szCs w:val="32"/>
        </w:rPr>
        <w:t>项目</w:t>
      </w:r>
      <w:r>
        <w:rPr>
          <w:rFonts w:hint="eastAsia" w:ascii="仿宋_GB2312" w:hAnsi="宋体" w:eastAsia="仿宋_GB2312"/>
          <w:sz w:val="32"/>
          <w:szCs w:val="32"/>
          <w:lang w:val="en-US" w:eastAsia="zh-CN"/>
        </w:rPr>
        <w:t>20.00</w:t>
      </w:r>
      <w:r>
        <w:rPr>
          <w:rFonts w:hint="eastAsia" w:ascii="仿宋_GB2312" w:hAnsi="仿宋_GB2312" w:eastAsia="仿宋_GB2312"/>
          <w:spacing w:val="-2"/>
          <w:kern w:val="0"/>
          <w:sz w:val="32"/>
          <w:szCs w:val="32"/>
        </w:rPr>
        <w:t>万元</w:t>
      </w:r>
      <w:r>
        <w:rPr>
          <w:rFonts w:hint="eastAsia" w:ascii="仿宋_GB2312" w:hAnsi="仿宋_GB2312" w:eastAsia="仿宋_GB2312"/>
          <w:spacing w:val="-2"/>
          <w:kern w:val="0"/>
          <w:sz w:val="32"/>
          <w:szCs w:val="32"/>
          <w:lang w:eastAsia="zh-CN"/>
        </w:rPr>
        <w:t>；</w:t>
      </w:r>
      <w:r>
        <w:rPr>
          <w:rFonts w:hint="eastAsia" w:ascii="仿宋_GB2312" w:hAnsi="宋体" w:eastAsia="仿宋_GB2312"/>
          <w:sz w:val="32"/>
          <w:szCs w:val="32"/>
          <w:lang w:eastAsia="zh-CN"/>
        </w:rPr>
        <w:t>购置演出设备</w:t>
      </w:r>
      <w:r>
        <w:rPr>
          <w:rFonts w:hint="eastAsia" w:ascii="仿宋_GB2312" w:hAnsi="仿宋_GB2312" w:eastAsia="仿宋_GB2312"/>
          <w:spacing w:val="-2"/>
          <w:kern w:val="0"/>
          <w:sz w:val="32"/>
          <w:szCs w:val="32"/>
        </w:rPr>
        <w:t>项目</w:t>
      </w:r>
      <w:r>
        <w:rPr>
          <w:rFonts w:hint="eastAsia" w:ascii="仿宋_GB2312" w:hAnsi="宋体" w:eastAsia="仿宋_GB2312"/>
          <w:sz w:val="32"/>
          <w:szCs w:val="32"/>
          <w:lang w:val="en-US" w:eastAsia="zh-CN"/>
        </w:rPr>
        <w:t>10.00</w:t>
      </w:r>
      <w:r>
        <w:rPr>
          <w:rFonts w:hint="eastAsia" w:ascii="仿宋_GB2312" w:hAnsi="仿宋_GB2312" w:eastAsia="仿宋_GB2312"/>
          <w:spacing w:val="-2"/>
          <w:kern w:val="0"/>
          <w:sz w:val="32"/>
          <w:szCs w:val="32"/>
        </w:rPr>
        <w:t>万元。</w:t>
      </w:r>
    </w:p>
    <w:p w14:paraId="52F37D81">
      <w:pPr>
        <w:spacing w:line="560" w:lineRule="exact"/>
        <w:ind w:firstLine="645"/>
        <w:rPr>
          <w:rFonts w:ascii="黑体" w:hAnsi="宋体" w:eastAsia="黑体"/>
          <w:sz w:val="32"/>
          <w:szCs w:val="32"/>
        </w:rPr>
      </w:pPr>
      <w:r>
        <w:rPr>
          <w:rFonts w:hint="eastAsia" w:ascii="黑体" w:hAnsi="宋体" w:eastAsia="黑体"/>
          <w:sz w:val="32"/>
          <w:szCs w:val="32"/>
        </w:rPr>
        <w:t>三、</w:t>
      </w:r>
      <w:r>
        <w:rPr>
          <w:rFonts w:hint="eastAsia" w:ascii="黑体" w:hAnsi="宋体" w:eastAsia="黑体"/>
          <w:sz w:val="32"/>
          <w:szCs w:val="32"/>
          <w:lang w:eastAsia="zh-CN"/>
        </w:rPr>
        <w:t>机关运行</w:t>
      </w:r>
      <w:r>
        <w:rPr>
          <w:rFonts w:hint="eastAsia" w:ascii="黑体" w:hAnsi="宋体" w:eastAsia="黑体"/>
          <w:sz w:val="32"/>
          <w:szCs w:val="32"/>
        </w:rPr>
        <w:t>经费安排情况</w:t>
      </w:r>
    </w:p>
    <w:p w14:paraId="4959908E">
      <w:pPr>
        <w:spacing w:line="560" w:lineRule="exact"/>
        <w:ind w:firstLine="645"/>
        <w:rPr>
          <w:rFonts w:hint="default" w:ascii="仿宋_GB2312" w:hAnsi="宋体" w:eastAsia="仿宋_GB2312"/>
          <w:sz w:val="32"/>
          <w:szCs w:val="32"/>
          <w:lang w:val="en-US" w:eastAsia="zh-CN"/>
        </w:rPr>
      </w:pPr>
      <w:r>
        <w:rPr>
          <w:rFonts w:hint="eastAsia" w:ascii="仿宋_GB2312" w:hAnsi="宋体" w:eastAsia="仿宋_GB2312"/>
          <w:sz w:val="32"/>
          <w:szCs w:val="32"/>
        </w:rPr>
        <w:t>辽宁省</w:t>
      </w:r>
      <w:r>
        <w:rPr>
          <w:rFonts w:hint="eastAsia" w:ascii="仿宋_GB2312" w:hAnsi="宋体" w:eastAsia="仿宋_GB2312"/>
          <w:sz w:val="32"/>
          <w:szCs w:val="32"/>
          <w:lang w:eastAsia="zh-CN"/>
        </w:rPr>
        <w:t>盘锦市文化馆为事业单位，无机关运行经费。</w:t>
      </w:r>
      <w:r>
        <w:rPr>
          <w:rFonts w:hint="eastAsia" w:ascii="仿宋_GB2312" w:hAnsi="宋体" w:eastAsia="仿宋_GB2312"/>
          <w:sz w:val="32"/>
          <w:szCs w:val="32"/>
          <w:lang w:val="en-US" w:eastAsia="zh-CN"/>
        </w:rPr>
        <w:t>2025年，机关运行经费预算为0。</w:t>
      </w:r>
      <w:bookmarkStart w:id="0" w:name="_GoBack"/>
      <w:bookmarkEnd w:id="0"/>
    </w:p>
    <w:p w14:paraId="7661DA4E">
      <w:pPr>
        <w:spacing w:line="560" w:lineRule="exact"/>
        <w:ind w:firstLine="660"/>
        <w:rPr>
          <w:rFonts w:ascii="黑体" w:hAnsi="黑体" w:eastAsia="黑体"/>
          <w:sz w:val="32"/>
          <w:szCs w:val="32"/>
        </w:rPr>
      </w:pPr>
      <w:r>
        <w:rPr>
          <w:rFonts w:hint="eastAsia" w:ascii="黑体" w:hAnsi="黑体" w:eastAsia="黑体"/>
          <w:sz w:val="32"/>
          <w:szCs w:val="32"/>
        </w:rPr>
        <w:t>四、政府采购情况</w:t>
      </w:r>
    </w:p>
    <w:p w14:paraId="1AE87BE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6"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2025年辽宁省盘锦市文化馆安排政府采购预算0万元，具体为货物0万元，服务0万元，工程0万元；预留面向中小企业采购份额0万元，其中预留给小微企业0万元。</w:t>
      </w:r>
    </w:p>
    <w:p w14:paraId="28D292E6">
      <w:pPr>
        <w:spacing w:line="560" w:lineRule="exact"/>
        <w:ind w:firstLine="660"/>
        <w:rPr>
          <w:rFonts w:ascii="黑体" w:hAnsi="黑体" w:eastAsia="黑体"/>
          <w:sz w:val="32"/>
          <w:szCs w:val="32"/>
        </w:rPr>
      </w:pPr>
      <w:r>
        <w:rPr>
          <w:rFonts w:hint="eastAsia" w:ascii="黑体" w:hAnsi="黑体" w:eastAsia="黑体"/>
          <w:sz w:val="32"/>
          <w:szCs w:val="32"/>
        </w:rPr>
        <w:t>五、“三公”经费预算情况</w:t>
      </w:r>
    </w:p>
    <w:p w14:paraId="01E6D2DE">
      <w:pPr>
        <w:spacing w:line="560" w:lineRule="exact"/>
        <w:ind w:firstLine="660"/>
        <w:rPr>
          <w:rFonts w:hint="default" w:ascii="仿宋_GB2312" w:eastAsia="仿宋_GB2312"/>
          <w:sz w:val="32"/>
          <w:szCs w:val="32"/>
          <w:lang w:val="en-US" w:eastAsia="zh-CN"/>
        </w:rPr>
      </w:pPr>
      <w:r>
        <w:rPr>
          <w:rFonts w:hint="eastAsia" w:ascii="仿宋_GB2312" w:eastAsia="仿宋_GB2312"/>
          <w:sz w:val="32"/>
          <w:szCs w:val="32"/>
          <w:lang w:val="en-US" w:eastAsia="zh-CN"/>
        </w:rPr>
        <w:t>2025</w:t>
      </w:r>
      <w:r>
        <w:rPr>
          <w:rFonts w:hint="eastAsia" w:ascii="仿宋_GB2312" w:eastAsia="仿宋_GB2312"/>
          <w:sz w:val="32"/>
          <w:szCs w:val="32"/>
        </w:rPr>
        <w:t>年，辽宁省</w:t>
      </w:r>
      <w:r>
        <w:rPr>
          <w:rFonts w:hint="eastAsia" w:ascii="仿宋_GB2312" w:eastAsia="仿宋_GB2312"/>
          <w:sz w:val="32"/>
          <w:szCs w:val="32"/>
          <w:lang w:eastAsia="zh-CN"/>
        </w:rPr>
        <w:t>盘锦市文化馆财政拨款</w:t>
      </w:r>
      <w:r>
        <w:rPr>
          <w:rFonts w:hint="eastAsia" w:ascii="仿宋_GB2312" w:eastAsia="仿宋_GB2312"/>
          <w:sz w:val="32"/>
          <w:szCs w:val="32"/>
        </w:rPr>
        <w:t>预算安排的 “三公”经费预算为</w:t>
      </w:r>
      <w:r>
        <w:rPr>
          <w:rFonts w:hint="eastAsia" w:ascii="仿宋_GB2312" w:eastAsia="仿宋_GB2312"/>
          <w:sz w:val="32"/>
          <w:szCs w:val="32"/>
          <w:lang w:val="en-US" w:eastAsia="zh-CN"/>
        </w:rPr>
        <w:t>0</w:t>
      </w:r>
      <w:r>
        <w:rPr>
          <w:rFonts w:hint="eastAsia" w:ascii="仿宋_GB2312" w:eastAsia="仿宋_GB2312"/>
          <w:sz w:val="32"/>
          <w:szCs w:val="32"/>
        </w:rPr>
        <w:t>万元，比</w:t>
      </w:r>
      <w:r>
        <w:rPr>
          <w:rFonts w:hint="eastAsia" w:ascii="仿宋_GB2312" w:eastAsia="仿宋_GB2312"/>
          <w:sz w:val="32"/>
          <w:szCs w:val="32"/>
          <w:lang w:eastAsia="zh-CN"/>
        </w:rPr>
        <w:t>上</w:t>
      </w:r>
      <w:r>
        <w:rPr>
          <w:rFonts w:hint="eastAsia" w:ascii="仿宋_GB2312" w:eastAsia="仿宋_GB2312"/>
          <w:sz w:val="32"/>
          <w:szCs w:val="32"/>
        </w:rPr>
        <w:t>年减少</w:t>
      </w:r>
      <w:r>
        <w:rPr>
          <w:rFonts w:hint="eastAsia" w:ascii="仿宋_GB2312" w:eastAsia="仿宋_GB2312"/>
          <w:sz w:val="32"/>
          <w:szCs w:val="32"/>
          <w:lang w:val="en-US" w:eastAsia="zh-CN"/>
        </w:rPr>
        <w:t>4</w:t>
      </w:r>
      <w:r>
        <w:rPr>
          <w:rFonts w:hint="eastAsia" w:ascii="仿宋_GB2312" w:eastAsia="仿宋_GB2312"/>
          <w:sz w:val="32"/>
          <w:szCs w:val="32"/>
        </w:rPr>
        <w:t>万元，下降</w:t>
      </w:r>
      <w:r>
        <w:rPr>
          <w:rFonts w:hint="eastAsia" w:ascii="仿宋_GB2312" w:eastAsia="仿宋_GB2312"/>
          <w:sz w:val="32"/>
          <w:szCs w:val="32"/>
          <w:lang w:val="en-US" w:eastAsia="zh-CN"/>
        </w:rPr>
        <w:t>100</w:t>
      </w:r>
      <w:r>
        <w:rPr>
          <w:rFonts w:hint="eastAsia" w:ascii="仿宋_GB2312" w:eastAsia="仿宋_GB2312"/>
          <w:sz w:val="32"/>
          <w:szCs w:val="32"/>
        </w:rPr>
        <w:t>%。其中：</w:t>
      </w:r>
      <w:r>
        <w:rPr>
          <w:rFonts w:hint="eastAsia" w:ascii="仿宋_GB2312" w:eastAsia="仿宋_GB2312"/>
          <w:sz w:val="32"/>
          <w:szCs w:val="32"/>
          <w:lang w:eastAsia="zh-CN"/>
        </w:rPr>
        <w:t>原有公务用车于</w:t>
      </w:r>
      <w:r>
        <w:rPr>
          <w:rFonts w:hint="eastAsia" w:ascii="仿宋_GB2312" w:eastAsia="仿宋_GB2312"/>
          <w:sz w:val="32"/>
          <w:szCs w:val="32"/>
          <w:lang w:val="en-US" w:eastAsia="zh-CN"/>
        </w:rPr>
        <w:t>2024年11月报废（保留1辆公务用车编制）。</w:t>
      </w:r>
    </w:p>
    <w:p w14:paraId="771AD356">
      <w:pPr>
        <w:spacing w:line="560" w:lineRule="exact"/>
        <w:ind w:firstLine="660"/>
        <w:rPr>
          <w:rFonts w:ascii="仿宋_GB2312" w:eastAsia="仿宋_GB2312"/>
          <w:sz w:val="32"/>
          <w:szCs w:val="32"/>
        </w:rPr>
      </w:pPr>
      <w:r>
        <w:rPr>
          <w:rFonts w:hint="eastAsia" w:ascii="仿宋_GB2312" w:eastAsia="仿宋_GB2312"/>
          <w:sz w:val="32"/>
          <w:szCs w:val="32"/>
        </w:rPr>
        <w:t>1.因公出国（境）费</w:t>
      </w:r>
      <w:r>
        <w:rPr>
          <w:rFonts w:hint="eastAsia" w:ascii="仿宋_GB2312" w:eastAsia="仿宋_GB2312"/>
          <w:sz w:val="32"/>
          <w:szCs w:val="32"/>
          <w:lang w:val="en-US" w:eastAsia="zh-CN"/>
        </w:rPr>
        <w:t>0</w:t>
      </w:r>
      <w:r>
        <w:rPr>
          <w:rFonts w:hint="eastAsia" w:ascii="仿宋_GB2312" w:eastAsia="仿宋_GB2312"/>
          <w:sz w:val="32"/>
          <w:szCs w:val="32"/>
        </w:rPr>
        <w:t>万元，比</w:t>
      </w:r>
      <w:r>
        <w:rPr>
          <w:rFonts w:hint="eastAsia" w:ascii="仿宋_GB2312" w:eastAsia="仿宋_GB2312"/>
          <w:sz w:val="32"/>
          <w:szCs w:val="32"/>
          <w:lang w:eastAsia="zh-CN"/>
        </w:rPr>
        <w:t>上</w:t>
      </w:r>
      <w:r>
        <w:rPr>
          <w:rFonts w:hint="eastAsia" w:ascii="仿宋_GB2312" w:eastAsia="仿宋_GB2312"/>
          <w:sz w:val="32"/>
          <w:szCs w:val="32"/>
        </w:rPr>
        <w:t>年减少（增加）</w:t>
      </w:r>
      <w:r>
        <w:rPr>
          <w:rFonts w:hint="eastAsia" w:ascii="仿宋_GB2312" w:eastAsia="仿宋_GB2312"/>
          <w:sz w:val="32"/>
          <w:szCs w:val="32"/>
          <w:lang w:val="en-US" w:eastAsia="zh-CN"/>
        </w:rPr>
        <w:t>0</w:t>
      </w:r>
      <w:r>
        <w:rPr>
          <w:rFonts w:hint="eastAsia" w:ascii="仿宋_GB2312" w:eastAsia="仿宋_GB2312"/>
          <w:sz w:val="32"/>
          <w:szCs w:val="32"/>
        </w:rPr>
        <w:t>万元，下降（增长）</w:t>
      </w:r>
      <w:r>
        <w:rPr>
          <w:rFonts w:hint="eastAsia" w:ascii="仿宋_GB2312" w:eastAsia="仿宋_GB2312"/>
          <w:sz w:val="32"/>
          <w:szCs w:val="32"/>
          <w:lang w:val="en-US" w:eastAsia="zh-CN"/>
        </w:rPr>
        <w:t>0</w:t>
      </w:r>
      <w:r>
        <w:rPr>
          <w:rFonts w:hint="eastAsia" w:ascii="仿宋_GB2312" w:eastAsia="仿宋_GB2312"/>
          <w:sz w:val="32"/>
          <w:szCs w:val="32"/>
        </w:rPr>
        <w:t>%。主要原因为</w:t>
      </w:r>
      <w:r>
        <w:rPr>
          <w:rFonts w:hint="eastAsia" w:ascii="仿宋_GB2312" w:eastAsia="仿宋_GB2312"/>
          <w:sz w:val="32"/>
          <w:szCs w:val="32"/>
          <w:lang w:val="en-US" w:eastAsia="zh-CN"/>
        </w:rPr>
        <w:t>0</w:t>
      </w:r>
      <w:r>
        <w:rPr>
          <w:rFonts w:hint="eastAsia" w:ascii="仿宋_GB2312" w:eastAsia="仿宋_GB2312"/>
          <w:sz w:val="32"/>
          <w:szCs w:val="32"/>
        </w:rPr>
        <w:t>。</w:t>
      </w:r>
    </w:p>
    <w:p w14:paraId="6F58B1B9">
      <w:pPr>
        <w:spacing w:line="560" w:lineRule="exact"/>
        <w:ind w:firstLine="660"/>
        <w:rPr>
          <w:rFonts w:ascii="仿宋_GB2312" w:eastAsia="仿宋_GB2312"/>
          <w:sz w:val="32"/>
          <w:szCs w:val="32"/>
        </w:rPr>
      </w:pPr>
      <w:r>
        <w:rPr>
          <w:rFonts w:hint="eastAsia" w:ascii="仿宋_GB2312" w:eastAsia="仿宋_GB2312"/>
          <w:sz w:val="32"/>
          <w:szCs w:val="32"/>
        </w:rPr>
        <w:t>2.公务接待费</w:t>
      </w:r>
      <w:r>
        <w:rPr>
          <w:rFonts w:hint="eastAsia" w:ascii="仿宋_GB2312" w:eastAsia="仿宋_GB2312"/>
          <w:sz w:val="32"/>
          <w:szCs w:val="32"/>
          <w:lang w:val="en-US" w:eastAsia="zh-CN"/>
        </w:rPr>
        <w:t>0</w:t>
      </w:r>
      <w:r>
        <w:rPr>
          <w:rFonts w:hint="eastAsia" w:ascii="仿宋_GB2312" w:eastAsia="仿宋_GB2312"/>
          <w:sz w:val="32"/>
          <w:szCs w:val="32"/>
        </w:rPr>
        <w:t>万元，比</w:t>
      </w:r>
      <w:r>
        <w:rPr>
          <w:rFonts w:hint="eastAsia" w:ascii="仿宋_GB2312" w:eastAsia="仿宋_GB2312"/>
          <w:sz w:val="32"/>
          <w:szCs w:val="32"/>
          <w:lang w:eastAsia="zh-CN"/>
        </w:rPr>
        <w:t>上</w:t>
      </w:r>
      <w:r>
        <w:rPr>
          <w:rFonts w:hint="eastAsia" w:ascii="仿宋_GB2312" w:eastAsia="仿宋_GB2312"/>
          <w:sz w:val="32"/>
          <w:szCs w:val="32"/>
        </w:rPr>
        <w:t>年减少（增加）</w:t>
      </w:r>
      <w:r>
        <w:rPr>
          <w:rFonts w:hint="eastAsia" w:ascii="仿宋_GB2312" w:eastAsia="仿宋_GB2312"/>
          <w:sz w:val="32"/>
          <w:szCs w:val="32"/>
          <w:lang w:val="en-US" w:eastAsia="zh-CN"/>
        </w:rPr>
        <w:t>0</w:t>
      </w:r>
      <w:r>
        <w:rPr>
          <w:rFonts w:hint="eastAsia" w:ascii="仿宋_GB2312" w:eastAsia="仿宋_GB2312"/>
          <w:sz w:val="32"/>
          <w:szCs w:val="32"/>
        </w:rPr>
        <w:t>万元，下降（增长）</w:t>
      </w:r>
      <w:r>
        <w:rPr>
          <w:rFonts w:hint="eastAsia" w:ascii="仿宋_GB2312" w:eastAsia="仿宋_GB2312"/>
          <w:sz w:val="32"/>
          <w:szCs w:val="32"/>
          <w:lang w:val="en-US" w:eastAsia="zh-CN"/>
        </w:rPr>
        <w:t>0</w:t>
      </w:r>
      <w:r>
        <w:rPr>
          <w:rFonts w:hint="eastAsia" w:ascii="仿宋_GB2312" w:eastAsia="仿宋_GB2312"/>
          <w:sz w:val="32"/>
          <w:szCs w:val="32"/>
        </w:rPr>
        <w:t>%。主要原因为</w:t>
      </w:r>
      <w:r>
        <w:rPr>
          <w:rFonts w:hint="eastAsia" w:ascii="仿宋_GB2312" w:eastAsia="仿宋_GB2312"/>
          <w:sz w:val="32"/>
          <w:szCs w:val="32"/>
          <w:lang w:val="en-US" w:eastAsia="zh-CN"/>
        </w:rPr>
        <w:t>0</w:t>
      </w:r>
      <w:r>
        <w:rPr>
          <w:rFonts w:hint="eastAsia" w:ascii="仿宋_GB2312" w:eastAsia="仿宋_GB2312"/>
          <w:sz w:val="32"/>
          <w:szCs w:val="32"/>
        </w:rPr>
        <w:t>。</w:t>
      </w:r>
    </w:p>
    <w:p w14:paraId="1DF3DB7A">
      <w:pPr>
        <w:spacing w:line="560" w:lineRule="exact"/>
        <w:ind w:firstLine="660"/>
      </w:pPr>
      <w:r>
        <w:rPr>
          <w:rFonts w:hint="eastAsia" w:ascii="仿宋_GB2312" w:eastAsia="仿宋_GB2312"/>
          <w:sz w:val="32"/>
          <w:szCs w:val="32"/>
        </w:rPr>
        <w:t>3.公务用车购置及运行费</w:t>
      </w:r>
      <w:r>
        <w:rPr>
          <w:rFonts w:hint="eastAsia" w:ascii="仿宋_GB2312" w:eastAsia="仿宋_GB2312"/>
          <w:sz w:val="32"/>
          <w:szCs w:val="32"/>
          <w:lang w:val="en-US" w:eastAsia="zh-CN"/>
        </w:rPr>
        <w:t>0</w:t>
      </w:r>
      <w:r>
        <w:rPr>
          <w:rFonts w:hint="eastAsia" w:ascii="仿宋_GB2312" w:eastAsia="仿宋_GB2312"/>
          <w:sz w:val="32"/>
          <w:szCs w:val="32"/>
        </w:rPr>
        <w:t>万元（其中：公务用车购置费</w:t>
      </w:r>
      <w:r>
        <w:rPr>
          <w:rFonts w:hint="eastAsia" w:ascii="仿宋_GB2312" w:eastAsia="仿宋_GB2312"/>
          <w:sz w:val="32"/>
          <w:szCs w:val="32"/>
          <w:lang w:val="en-US" w:eastAsia="zh-CN"/>
        </w:rPr>
        <w:t>0</w:t>
      </w:r>
      <w:r>
        <w:rPr>
          <w:rFonts w:hint="eastAsia" w:ascii="仿宋_GB2312" w:eastAsia="仿宋_GB2312"/>
          <w:sz w:val="32"/>
          <w:szCs w:val="32"/>
        </w:rPr>
        <w:t>万元，比</w:t>
      </w:r>
      <w:r>
        <w:rPr>
          <w:rFonts w:hint="eastAsia" w:ascii="仿宋_GB2312" w:eastAsia="仿宋_GB2312"/>
          <w:sz w:val="32"/>
          <w:szCs w:val="32"/>
          <w:lang w:eastAsia="zh-CN"/>
        </w:rPr>
        <w:t>上</w:t>
      </w:r>
      <w:r>
        <w:rPr>
          <w:rFonts w:hint="eastAsia" w:ascii="仿宋_GB2312" w:eastAsia="仿宋_GB2312"/>
          <w:sz w:val="32"/>
          <w:szCs w:val="32"/>
        </w:rPr>
        <w:t>年减少</w:t>
      </w:r>
      <w:r>
        <w:rPr>
          <w:rFonts w:hint="eastAsia" w:ascii="仿宋_GB2312" w:eastAsia="仿宋_GB2312"/>
          <w:sz w:val="32"/>
          <w:szCs w:val="32"/>
          <w:lang w:val="en-US" w:eastAsia="zh-CN"/>
        </w:rPr>
        <w:t>0</w:t>
      </w:r>
      <w:r>
        <w:rPr>
          <w:rFonts w:hint="eastAsia" w:ascii="仿宋_GB2312" w:eastAsia="仿宋_GB2312"/>
          <w:sz w:val="32"/>
          <w:szCs w:val="32"/>
        </w:rPr>
        <w:t>万元，下降</w:t>
      </w:r>
      <w:r>
        <w:rPr>
          <w:rFonts w:hint="eastAsia" w:ascii="仿宋_GB2312" w:eastAsia="仿宋_GB2312"/>
          <w:sz w:val="32"/>
          <w:szCs w:val="32"/>
          <w:lang w:val="en-US" w:eastAsia="zh-CN"/>
        </w:rPr>
        <w:t>0</w:t>
      </w:r>
      <w:r>
        <w:rPr>
          <w:rFonts w:hint="eastAsia" w:ascii="仿宋_GB2312" w:eastAsia="仿宋_GB2312"/>
          <w:sz w:val="32"/>
          <w:szCs w:val="32"/>
        </w:rPr>
        <w:t>%；公务用车运行费</w:t>
      </w:r>
      <w:r>
        <w:rPr>
          <w:rFonts w:hint="eastAsia" w:ascii="仿宋_GB2312" w:eastAsia="仿宋_GB2312"/>
          <w:sz w:val="32"/>
          <w:szCs w:val="32"/>
          <w:lang w:val="en-US" w:eastAsia="zh-CN"/>
        </w:rPr>
        <w:t>0</w:t>
      </w:r>
      <w:r>
        <w:rPr>
          <w:rFonts w:hint="eastAsia" w:ascii="仿宋_GB2312" w:eastAsia="仿宋_GB2312"/>
          <w:sz w:val="32"/>
          <w:szCs w:val="32"/>
        </w:rPr>
        <w:t>万元，比</w:t>
      </w:r>
      <w:r>
        <w:rPr>
          <w:rFonts w:hint="eastAsia" w:ascii="仿宋_GB2312" w:eastAsia="仿宋_GB2312"/>
          <w:sz w:val="32"/>
          <w:szCs w:val="32"/>
          <w:lang w:eastAsia="zh-CN"/>
        </w:rPr>
        <w:t>上</w:t>
      </w:r>
      <w:r>
        <w:rPr>
          <w:rFonts w:hint="eastAsia" w:ascii="仿宋_GB2312" w:eastAsia="仿宋_GB2312"/>
          <w:sz w:val="32"/>
          <w:szCs w:val="32"/>
        </w:rPr>
        <w:t>年减少</w:t>
      </w:r>
      <w:r>
        <w:rPr>
          <w:rFonts w:hint="eastAsia" w:ascii="仿宋_GB2312" w:eastAsia="仿宋_GB2312"/>
          <w:sz w:val="32"/>
          <w:szCs w:val="32"/>
          <w:lang w:val="en-US" w:eastAsia="zh-CN"/>
        </w:rPr>
        <w:t>4</w:t>
      </w:r>
      <w:r>
        <w:rPr>
          <w:rFonts w:hint="eastAsia" w:ascii="仿宋_GB2312" w:eastAsia="仿宋_GB2312"/>
          <w:sz w:val="32"/>
          <w:szCs w:val="32"/>
        </w:rPr>
        <w:t>万元，下降</w:t>
      </w:r>
      <w:r>
        <w:rPr>
          <w:rFonts w:hint="eastAsia" w:ascii="仿宋_GB2312" w:eastAsia="仿宋_GB2312"/>
          <w:sz w:val="32"/>
          <w:szCs w:val="32"/>
          <w:lang w:val="en-US" w:eastAsia="zh-CN"/>
        </w:rPr>
        <w:t>100</w:t>
      </w:r>
      <w:r>
        <w:rPr>
          <w:rFonts w:hint="eastAsia" w:ascii="仿宋_GB2312" w:eastAsia="仿宋_GB2312"/>
          <w:sz w:val="32"/>
          <w:szCs w:val="32"/>
        </w:rPr>
        <w:t>%），比</w:t>
      </w:r>
      <w:r>
        <w:rPr>
          <w:rFonts w:hint="eastAsia" w:ascii="仿宋_GB2312" w:eastAsia="仿宋_GB2312"/>
          <w:sz w:val="32"/>
          <w:szCs w:val="32"/>
          <w:lang w:eastAsia="zh-CN"/>
        </w:rPr>
        <w:t>上</w:t>
      </w:r>
      <w:r>
        <w:rPr>
          <w:rFonts w:hint="eastAsia" w:ascii="仿宋_GB2312" w:eastAsia="仿宋_GB2312"/>
          <w:sz w:val="32"/>
          <w:szCs w:val="32"/>
        </w:rPr>
        <w:t>年减少</w:t>
      </w:r>
      <w:r>
        <w:rPr>
          <w:rFonts w:hint="eastAsia" w:ascii="仿宋_GB2312" w:eastAsia="仿宋_GB2312"/>
          <w:sz w:val="32"/>
          <w:szCs w:val="32"/>
          <w:lang w:val="en-US" w:eastAsia="zh-CN"/>
        </w:rPr>
        <w:t>4</w:t>
      </w:r>
      <w:r>
        <w:rPr>
          <w:rFonts w:hint="eastAsia" w:ascii="仿宋_GB2312" w:eastAsia="仿宋_GB2312"/>
          <w:sz w:val="32"/>
          <w:szCs w:val="32"/>
        </w:rPr>
        <w:t>万元，下降</w:t>
      </w:r>
      <w:r>
        <w:rPr>
          <w:rFonts w:hint="eastAsia" w:ascii="仿宋_GB2312" w:eastAsia="仿宋_GB2312"/>
          <w:sz w:val="32"/>
          <w:szCs w:val="32"/>
          <w:lang w:val="en-US" w:eastAsia="zh-CN"/>
        </w:rPr>
        <w:t>100</w:t>
      </w:r>
      <w:r>
        <w:rPr>
          <w:rFonts w:hint="eastAsia" w:ascii="仿宋_GB2312" w:eastAsia="仿宋_GB2312"/>
          <w:sz w:val="32"/>
          <w:szCs w:val="32"/>
        </w:rPr>
        <w:t>%。主要原因是</w:t>
      </w:r>
      <w:r>
        <w:rPr>
          <w:rFonts w:hint="eastAsia" w:ascii="仿宋_GB2312" w:eastAsia="仿宋_GB2312"/>
          <w:sz w:val="32"/>
          <w:szCs w:val="32"/>
          <w:lang w:eastAsia="zh-CN"/>
        </w:rPr>
        <w:t>原有公务用车于</w:t>
      </w:r>
      <w:r>
        <w:rPr>
          <w:rFonts w:hint="eastAsia" w:ascii="仿宋_GB2312" w:eastAsia="仿宋_GB2312"/>
          <w:sz w:val="32"/>
          <w:szCs w:val="32"/>
          <w:lang w:val="en-US" w:eastAsia="zh-CN"/>
        </w:rPr>
        <w:t>2024年11月报废（保留1辆公务用车编制）</w:t>
      </w:r>
      <w:r>
        <w:rPr>
          <w:rFonts w:hint="eastAsia" w:ascii="仿宋_GB2312" w:eastAsia="仿宋_GB2312"/>
          <w:sz w:val="32"/>
          <w:szCs w:val="32"/>
        </w:rPr>
        <w:t>。</w:t>
      </w:r>
    </w:p>
    <w:tbl>
      <w:tblPr>
        <w:tblStyle w:val="6"/>
        <w:tblW w:w="8835" w:type="dxa"/>
        <w:tblInd w:w="93" w:type="dxa"/>
        <w:tblLayout w:type="fixed"/>
        <w:tblCellMar>
          <w:top w:w="15" w:type="dxa"/>
          <w:left w:w="108" w:type="dxa"/>
          <w:bottom w:w="15" w:type="dxa"/>
          <w:right w:w="108" w:type="dxa"/>
        </w:tblCellMar>
      </w:tblPr>
      <w:tblGrid>
        <w:gridCol w:w="3423"/>
        <w:gridCol w:w="2026"/>
        <w:gridCol w:w="803"/>
        <w:gridCol w:w="2583"/>
      </w:tblGrid>
      <w:tr w14:paraId="7AAC47B9">
        <w:tblPrEx>
          <w:tblCellMar>
            <w:top w:w="15" w:type="dxa"/>
            <w:left w:w="108" w:type="dxa"/>
            <w:bottom w:w="15" w:type="dxa"/>
            <w:right w:w="108" w:type="dxa"/>
          </w:tblCellMar>
        </w:tblPrEx>
        <w:trPr>
          <w:trHeight w:val="570" w:hRule="atLeast"/>
        </w:trPr>
        <w:tc>
          <w:tcPr>
            <w:tcW w:w="8835" w:type="dxa"/>
            <w:gridSpan w:val="4"/>
            <w:vAlign w:val="center"/>
          </w:tcPr>
          <w:p w14:paraId="2D0ABE28">
            <w:pPr>
              <w:widowControl/>
              <w:spacing w:line="560" w:lineRule="exact"/>
              <w:jc w:val="center"/>
              <w:rPr>
                <w:rFonts w:ascii="宋体" w:hAnsi="宋体" w:cs="宋体"/>
                <w:b/>
                <w:bCs/>
                <w:color w:val="000000"/>
                <w:kern w:val="0"/>
                <w:sz w:val="30"/>
                <w:szCs w:val="30"/>
              </w:rPr>
            </w:pPr>
            <w:r>
              <w:rPr>
                <w:rFonts w:hint="eastAsia" w:ascii="宋体" w:hAnsi="宋体" w:cs="宋体"/>
                <w:b/>
                <w:bCs/>
                <w:color w:val="000000"/>
                <w:kern w:val="0"/>
                <w:sz w:val="30"/>
                <w:szCs w:val="30"/>
                <w:lang w:eastAsia="zh-CN"/>
              </w:rPr>
              <w:t>财政拨款</w:t>
            </w:r>
            <w:r>
              <w:rPr>
                <w:rFonts w:hint="eastAsia" w:ascii="宋体" w:hAnsi="宋体" w:cs="宋体"/>
                <w:b/>
                <w:bCs/>
                <w:color w:val="000000"/>
                <w:kern w:val="0"/>
                <w:sz w:val="30"/>
                <w:szCs w:val="30"/>
              </w:rPr>
              <w:t>预算“三公”经费支出表</w:t>
            </w:r>
          </w:p>
        </w:tc>
      </w:tr>
      <w:tr w14:paraId="205CC0DE">
        <w:tblPrEx>
          <w:tblCellMar>
            <w:top w:w="15" w:type="dxa"/>
            <w:left w:w="108" w:type="dxa"/>
            <w:bottom w:w="15" w:type="dxa"/>
            <w:right w:w="108" w:type="dxa"/>
          </w:tblCellMar>
        </w:tblPrEx>
        <w:trPr>
          <w:trHeight w:val="480" w:hRule="atLeast"/>
        </w:trPr>
        <w:tc>
          <w:tcPr>
            <w:tcW w:w="3423" w:type="dxa"/>
            <w:vAlign w:val="center"/>
          </w:tcPr>
          <w:p w14:paraId="569EB77F">
            <w:pPr>
              <w:widowControl/>
              <w:spacing w:line="560" w:lineRule="exact"/>
              <w:jc w:val="left"/>
              <w:rPr>
                <w:rFonts w:ascii="宋体" w:hAnsi="宋体" w:cs="宋体"/>
                <w:color w:val="000000"/>
                <w:kern w:val="0"/>
                <w:sz w:val="24"/>
              </w:rPr>
            </w:pPr>
          </w:p>
        </w:tc>
        <w:tc>
          <w:tcPr>
            <w:tcW w:w="2026" w:type="dxa"/>
            <w:vAlign w:val="center"/>
          </w:tcPr>
          <w:p w14:paraId="55B2ABD5">
            <w:pPr>
              <w:widowControl/>
              <w:spacing w:line="560" w:lineRule="exact"/>
              <w:jc w:val="left"/>
              <w:rPr>
                <w:rFonts w:ascii="宋体" w:hAnsi="宋体" w:cs="宋体"/>
                <w:color w:val="000000"/>
                <w:kern w:val="0"/>
                <w:sz w:val="24"/>
              </w:rPr>
            </w:pPr>
          </w:p>
        </w:tc>
        <w:tc>
          <w:tcPr>
            <w:tcW w:w="3386" w:type="dxa"/>
            <w:gridSpan w:val="2"/>
            <w:vAlign w:val="center"/>
          </w:tcPr>
          <w:p w14:paraId="523BF7AD">
            <w:pPr>
              <w:widowControl/>
              <w:spacing w:line="560" w:lineRule="exact"/>
              <w:jc w:val="right"/>
              <w:rPr>
                <w:rFonts w:ascii="宋体" w:hAnsi="宋体" w:cs="宋体"/>
                <w:color w:val="000000"/>
                <w:kern w:val="0"/>
                <w:sz w:val="24"/>
              </w:rPr>
            </w:pPr>
            <w:r>
              <w:rPr>
                <w:rFonts w:hint="eastAsia" w:ascii="宋体" w:hAnsi="宋体" w:cs="宋体"/>
                <w:color w:val="000000"/>
                <w:kern w:val="0"/>
                <w:sz w:val="24"/>
              </w:rPr>
              <w:t>单位：万元</w:t>
            </w:r>
          </w:p>
        </w:tc>
      </w:tr>
      <w:tr w14:paraId="1ECF764E">
        <w:tblPrEx>
          <w:tblCellMar>
            <w:top w:w="15" w:type="dxa"/>
            <w:left w:w="108" w:type="dxa"/>
            <w:bottom w:w="15" w:type="dxa"/>
            <w:right w:w="108" w:type="dxa"/>
          </w:tblCellMar>
        </w:tblPrEx>
        <w:trPr>
          <w:trHeight w:val="420" w:hRule="atLeast"/>
        </w:trPr>
        <w:tc>
          <w:tcPr>
            <w:tcW w:w="3423" w:type="dxa"/>
            <w:vMerge w:val="restart"/>
            <w:tcBorders>
              <w:top w:val="single" w:color="000000" w:sz="4" w:space="0"/>
              <w:left w:val="single" w:color="000000" w:sz="4" w:space="0"/>
              <w:bottom w:val="single" w:color="000000" w:sz="4" w:space="0"/>
              <w:right w:val="single" w:color="000000" w:sz="4" w:space="0"/>
            </w:tcBorders>
            <w:vAlign w:val="center"/>
          </w:tcPr>
          <w:p w14:paraId="3AEB31F7">
            <w:pPr>
              <w:widowControl/>
              <w:spacing w:line="560" w:lineRule="exact"/>
              <w:jc w:val="center"/>
              <w:rPr>
                <w:rFonts w:ascii="宋体" w:hAnsi="宋体" w:cs="宋体"/>
                <w:b/>
                <w:bCs/>
                <w:color w:val="000000"/>
                <w:kern w:val="0"/>
                <w:sz w:val="24"/>
              </w:rPr>
            </w:pPr>
            <w:r>
              <w:rPr>
                <w:rFonts w:hint="eastAsia" w:ascii="宋体" w:hAnsi="宋体" w:cs="宋体"/>
                <w:b/>
                <w:bCs/>
                <w:color w:val="000000"/>
                <w:kern w:val="0"/>
                <w:sz w:val="24"/>
              </w:rPr>
              <w:t>项目</w:t>
            </w:r>
          </w:p>
        </w:tc>
        <w:tc>
          <w:tcPr>
            <w:tcW w:w="5412" w:type="dxa"/>
            <w:gridSpan w:val="3"/>
            <w:tcBorders>
              <w:top w:val="single" w:color="000000" w:sz="4" w:space="0"/>
              <w:left w:val="single" w:color="000000" w:sz="4" w:space="0"/>
              <w:bottom w:val="single" w:color="000000" w:sz="4" w:space="0"/>
              <w:right w:val="single" w:color="000000" w:sz="4" w:space="0"/>
            </w:tcBorders>
            <w:vAlign w:val="center"/>
          </w:tcPr>
          <w:p w14:paraId="66A43B81">
            <w:pPr>
              <w:widowControl/>
              <w:spacing w:line="560" w:lineRule="exact"/>
              <w:jc w:val="center"/>
              <w:rPr>
                <w:rFonts w:ascii="宋体" w:hAnsi="宋体" w:cs="宋体"/>
                <w:b/>
                <w:bCs/>
                <w:color w:val="000000"/>
                <w:kern w:val="0"/>
                <w:sz w:val="24"/>
              </w:rPr>
            </w:pPr>
            <w:r>
              <w:rPr>
                <w:rFonts w:hint="eastAsia" w:ascii="宋体" w:hAnsi="宋体" w:cs="宋体"/>
                <w:b/>
                <w:bCs/>
                <w:color w:val="000000"/>
                <w:kern w:val="0"/>
                <w:sz w:val="24"/>
              </w:rPr>
              <w:t>金额</w:t>
            </w:r>
          </w:p>
        </w:tc>
      </w:tr>
      <w:tr w14:paraId="669FA0F7">
        <w:tblPrEx>
          <w:tblCellMar>
            <w:top w:w="15" w:type="dxa"/>
            <w:left w:w="108" w:type="dxa"/>
            <w:bottom w:w="15" w:type="dxa"/>
            <w:right w:w="108" w:type="dxa"/>
          </w:tblCellMar>
        </w:tblPrEx>
        <w:trPr>
          <w:trHeight w:val="420" w:hRule="atLeast"/>
        </w:trPr>
        <w:tc>
          <w:tcPr>
            <w:tcW w:w="3423" w:type="dxa"/>
            <w:vMerge w:val="continue"/>
            <w:tcBorders>
              <w:top w:val="single" w:color="000000" w:sz="4" w:space="0"/>
              <w:left w:val="single" w:color="000000" w:sz="4" w:space="0"/>
              <w:bottom w:val="single" w:color="000000" w:sz="4" w:space="0"/>
              <w:right w:val="single" w:color="000000" w:sz="4" w:space="0"/>
            </w:tcBorders>
            <w:vAlign w:val="center"/>
          </w:tcPr>
          <w:p w14:paraId="2BC06547">
            <w:pPr>
              <w:widowControl/>
              <w:spacing w:line="560" w:lineRule="exact"/>
              <w:jc w:val="left"/>
              <w:rPr>
                <w:rFonts w:ascii="宋体" w:hAnsi="宋体" w:cs="宋体"/>
                <w:b/>
                <w:bCs/>
                <w:color w:val="000000"/>
                <w:kern w:val="0"/>
                <w:sz w:val="24"/>
              </w:rPr>
            </w:pPr>
          </w:p>
        </w:tc>
        <w:tc>
          <w:tcPr>
            <w:tcW w:w="2829" w:type="dxa"/>
            <w:gridSpan w:val="2"/>
            <w:tcBorders>
              <w:top w:val="single" w:color="000000" w:sz="4" w:space="0"/>
              <w:left w:val="single" w:color="000000" w:sz="4" w:space="0"/>
              <w:bottom w:val="single" w:color="000000" w:sz="4" w:space="0"/>
              <w:right w:val="single" w:color="000000" w:sz="4" w:space="0"/>
            </w:tcBorders>
            <w:vAlign w:val="center"/>
          </w:tcPr>
          <w:p w14:paraId="38BEFF55">
            <w:pPr>
              <w:widowControl/>
              <w:spacing w:line="560" w:lineRule="exact"/>
              <w:jc w:val="center"/>
              <w:rPr>
                <w:rFonts w:ascii="宋体" w:hAnsi="宋体" w:cs="宋体"/>
                <w:b/>
                <w:bCs/>
                <w:color w:val="000000"/>
                <w:kern w:val="0"/>
                <w:sz w:val="24"/>
              </w:rPr>
            </w:pPr>
            <w:r>
              <w:rPr>
                <w:rFonts w:hint="eastAsia" w:ascii="宋体" w:hAnsi="宋体" w:cs="宋体"/>
                <w:b/>
                <w:bCs/>
                <w:color w:val="000000"/>
                <w:kern w:val="0"/>
                <w:sz w:val="24"/>
                <w:lang w:val="en-US" w:eastAsia="zh-CN"/>
              </w:rPr>
              <w:t>（2024）</w:t>
            </w:r>
            <w:r>
              <w:rPr>
                <w:rFonts w:hint="eastAsia" w:ascii="宋体" w:hAnsi="宋体" w:cs="宋体"/>
                <w:b/>
                <w:bCs/>
                <w:color w:val="000000"/>
                <w:kern w:val="0"/>
                <w:sz w:val="24"/>
              </w:rPr>
              <w:t>年</w:t>
            </w:r>
          </w:p>
        </w:tc>
        <w:tc>
          <w:tcPr>
            <w:tcW w:w="2583" w:type="dxa"/>
            <w:tcBorders>
              <w:top w:val="single" w:color="000000" w:sz="4" w:space="0"/>
              <w:left w:val="single" w:color="000000" w:sz="4" w:space="0"/>
              <w:bottom w:val="single" w:color="000000" w:sz="4" w:space="0"/>
              <w:right w:val="single" w:color="000000" w:sz="4" w:space="0"/>
            </w:tcBorders>
            <w:vAlign w:val="center"/>
          </w:tcPr>
          <w:p w14:paraId="0DF2DF02">
            <w:pPr>
              <w:widowControl/>
              <w:spacing w:line="560" w:lineRule="exact"/>
              <w:jc w:val="center"/>
              <w:rPr>
                <w:rFonts w:ascii="宋体" w:hAnsi="宋体" w:cs="宋体"/>
                <w:b/>
                <w:bCs/>
                <w:color w:val="000000"/>
                <w:kern w:val="0"/>
                <w:sz w:val="24"/>
              </w:rPr>
            </w:pPr>
            <w:r>
              <w:rPr>
                <w:rFonts w:hint="eastAsia" w:ascii="宋体" w:hAnsi="宋体" w:cs="宋体"/>
                <w:b/>
                <w:bCs/>
                <w:color w:val="000000"/>
                <w:kern w:val="0"/>
                <w:sz w:val="24"/>
                <w:lang w:val="en-US" w:eastAsia="zh-CN"/>
              </w:rPr>
              <w:t>（2025）</w:t>
            </w:r>
            <w:r>
              <w:rPr>
                <w:rFonts w:hint="eastAsia" w:ascii="宋体" w:hAnsi="宋体" w:cs="宋体"/>
                <w:b/>
                <w:bCs/>
                <w:color w:val="000000"/>
                <w:kern w:val="0"/>
                <w:sz w:val="24"/>
              </w:rPr>
              <w:t>年</w:t>
            </w:r>
          </w:p>
        </w:tc>
      </w:tr>
      <w:tr w14:paraId="39646016">
        <w:tblPrEx>
          <w:tblCellMar>
            <w:top w:w="15" w:type="dxa"/>
            <w:left w:w="108" w:type="dxa"/>
            <w:bottom w:w="15" w:type="dxa"/>
            <w:right w:w="108" w:type="dxa"/>
          </w:tblCellMar>
        </w:tblPrEx>
        <w:trPr>
          <w:trHeight w:val="420" w:hRule="atLeast"/>
        </w:trPr>
        <w:tc>
          <w:tcPr>
            <w:tcW w:w="3423" w:type="dxa"/>
            <w:tcBorders>
              <w:top w:val="single" w:color="000000" w:sz="4" w:space="0"/>
              <w:left w:val="single" w:color="000000" w:sz="4" w:space="0"/>
              <w:bottom w:val="single" w:color="000000" w:sz="4" w:space="0"/>
              <w:right w:val="single" w:color="000000" w:sz="4" w:space="0"/>
            </w:tcBorders>
            <w:vAlign w:val="center"/>
          </w:tcPr>
          <w:p w14:paraId="110BB3C4">
            <w:pPr>
              <w:widowControl/>
              <w:spacing w:line="560" w:lineRule="exact"/>
              <w:jc w:val="center"/>
              <w:rPr>
                <w:rFonts w:ascii="宋体" w:hAnsi="宋体" w:cs="宋体"/>
                <w:b/>
                <w:bCs/>
                <w:color w:val="000000"/>
                <w:kern w:val="0"/>
                <w:sz w:val="24"/>
              </w:rPr>
            </w:pPr>
            <w:r>
              <w:rPr>
                <w:rFonts w:hint="eastAsia" w:ascii="宋体" w:hAnsi="宋体" w:cs="宋体"/>
                <w:b/>
                <w:bCs/>
                <w:color w:val="000000"/>
                <w:kern w:val="0"/>
                <w:sz w:val="24"/>
              </w:rPr>
              <w:t>合计</w:t>
            </w:r>
          </w:p>
        </w:tc>
        <w:tc>
          <w:tcPr>
            <w:tcW w:w="2829" w:type="dxa"/>
            <w:gridSpan w:val="2"/>
            <w:tcBorders>
              <w:top w:val="single" w:color="000000" w:sz="4" w:space="0"/>
              <w:left w:val="single" w:color="000000" w:sz="4" w:space="0"/>
              <w:bottom w:val="single" w:color="000000" w:sz="4" w:space="0"/>
              <w:right w:val="single" w:color="000000" w:sz="4" w:space="0"/>
            </w:tcBorders>
            <w:vAlign w:val="center"/>
          </w:tcPr>
          <w:p w14:paraId="2116227E">
            <w:pPr>
              <w:widowControl/>
              <w:spacing w:line="560" w:lineRule="exact"/>
              <w:jc w:val="center"/>
              <w:rPr>
                <w:rFonts w:hint="eastAsia" w:ascii="宋体" w:hAnsi="宋体" w:eastAsia="宋体" w:cs="宋体"/>
                <w:b/>
                <w:bCs/>
                <w:color w:val="000000"/>
                <w:kern w:val="0"/>
                <w:sz w:val="24"/>
                <w:lang w:val="en-US" w:eastAsia="zh-CN"/>
              </w:rPr>
            </w:pPr>
            <w:r>
              <w:rPr>
                <w:rFonts w:hint="eastAsia" w:ascii="宋体" w:hAnsi="宋体" w:cs="宋体"/>
                <w:b/>
                <w:bCs/>
                <w:color w:val="000000"/>
                <w:kern w:val="0"/>
                <w:sz w:val="24"/>
                <w:lang w:val="en-US" w:eastAsia="zh-CN"/>
              </w:rPr>
              <w:t>4</w:t>
            </w:r>
          </w:p>
        </w:tc>
        <w:tc>
          <w:tcPr>
            <w:tcW w:w="2583" w:type="dxa"/>
            <w:tcBorders>
              <w:top w:val="single" w:color="000000" w:sz="4" w:space="0"/>
              <w:left w:val="single" w:color="000000" w:sz="4" w:space="0"/>
              <w:bottom w:val="single" w:color="000000" w:sz="4" w:space="0"/>
              <w:right w:val="single" w:color="000000" w:sz="4" w:space="0"/>
            </w:tcBorders>
            <w:vAlign w:val="center"/>
          </w:tcPr>
          <w:p w14:paraId="201746C4">
            <w:pPr>
              <w:widowControl/>
              <w:spacing w:line="560" w:lineRule="exact"/>
              <w:jc w:val="center"/>
              <w:rPr>
                <w:rFonts w:hint="eastAsia" w:ascii="宋体" w:hAnsi="宋体" w:eastAsia="宋体" w:cs="宋体"/>
                <w:b/>
                <w:bCs/>
                <w:color w:val="000000"/>
                <w:kern w:val="0"/>
                <w:sz w:val="24"/>
                <w:lang w:val="en-US" w:eastAsia="zh-CN"/>
              </w:rPr>
            </w:pPr>
            <w:r>
              <w:rPr>
                <w:rFonts w:hint="eastAsia" w:ascii="宋体" w:hAnsi="宋体" w:cs="宋体"/>
                <w:b/>
                <w:bCs/>
                <w:color w:val="000000"/>
                <w:kern w:val="0"/>
                <w:sz w:val="24"/>
                <w:lang w:val="en-US" w:eastAsia="zh-CN"/>
              </w:rPr>
              <w:t>0</w:t>
            </w:r>
          </w:p>
        </w:tc>
      </w:tr>
      <w:tr w14:paraId="0B0DB181">
        <w:tblPrEx>
          <w:tblCellMar>
            <w:top w:w="15" w:type="dxa"/>
            <w:left w:w="108" w:type="dxa"/>
            <w:bottom w:w="15" w:type="dxa"/>
            <w:right w:w="108" w:type="dxa"/>
          </w:tblCellMar>
        </w:tblPrEx>
        <w:trPr>
          <w:trHeight w:val="420" w:hRule="atLeast"/>
        </w:trPr>
        <w:tc>
          <w:tcPr>
            <w:tcW w:w="3423" w:type="dxa"/>
            <w:tcBorders>
              <w:top w:val="single" w:color="000000" w:sz="4" w:space="0"/>
              <w:left w:val="single" w:color="000000" w:sz="4" w:space="0"/>
              <w:bottom w:val="single" w:color="000000" w:sz="4" w:space="0"/>
              <w:right w:val="single" w:color="000000" w:sz="4" w:space="0"/>
            </w:tcBorders>
            <w:vAlign w:val="center"/>
          </w:tcPr>
          <w:p w14:paraId="3295C796">
            <w:pPr>
              <w:widowControl/>
              <w:spacing w:line="560" w:lineRule="exact"/>
              <w:jc w:val="left"/>
              <w:rPr>
                <w:rFonts w:ascii="宋体" w:hAnsi="宋体" w:cs="宋体"/>
                <w:color w:val="000000"/>
                <w:kern w:val="0"/>
                <w:sz w:val="24"/>
              </w:rPr>
            </w:pPr>
            <w:r>
              <w:rPr>
                <w:rFonts w:hint="eastAsia" w:ascii="宋体" w:hAnsi="宋体" w:cs="宋体"/>
                <w:color w:val="000000"/>
                <w:kern w:val="0"/>
                <w:sz w:val="24"/>
              </w:rPr>
              <w:t>1.因公出国（境）费</w:t>
            </w:r>
          </w:p>
        </w:tc>
        <w:tc>
          <w:tcPr>
            <w:tcW w:w="2829" w:type="dxa"/>
            <w:gridSpan w:val="2"/>
            <w:tcBorders>
              <w:top w:val="single" w:color="000000" w:sz="4" w:space="0"/>
              <w:left w:val="single" w:color="000000" w:sz="4" w:space="0"/>
              <w:bottom w:val="single" w:color="000000" w:sz="4" w:space="0"/>
              <w:right w:val="single" w:color="000000" w:sz="4" w:space="0"/>
            </w:tcBorders>
            <w:vAlign w:val="center"/>
          </w:tcPr>
          <w:p w14:paraId="447F0459">
            <w:pPr>
              <w:widowControl/>
              <w:spacing w:line="560" w:lineRule="exact"/>
              <w:jc w:val="left"/>
              <w:rPr>
                <w:rFonts w:hint="eastAsia" w:ascii="宋体" w:hAnsi="宋体" w:eastAsia="宋体" w:cs="宋体"/>
                <w:color w:val="000000"/>
                <w:kern w:val="0"/>
                <w:sz w:val="24"/>
                <w:lang w:val="en-US" w:eastAsia="zh-CN"/>
              </w:rPr>
            </w:pPr>
            <w:r>
              <w:rPr>
                <w:rFonts w:hint="eastAsia" w:ascii="宋体" w:hAnsi="宋体" w:cs="宋体"/>
                <w:color w:val="000000"/>
                <w:kern w:val="0"/>
                <w:sz w:val="24"/>
                <w:lang w:val="en-US" w:eastAsia="zh-CN"/>
              </w:rPr>
              <w:t>0</w:t>
            </w:r>
          </w:p>
        </w:tc>
        <w:tc>
          <w:tcPr>
            <w:tcW w:w="2583" w:type="dxa"/>
            <w:tcBorders>
              <w:top w:val="single" w:color="000000" w:sz="4" w:space="0"/>
              <w:left w:val="single" w:color="000000" w:sz="4" w:space="0"/>
              <w:bottom w:val="single" w:color="000000" w:sz="4" w:space="0"/>
              <w:right w:val="single" w:color="000000" w:sz="4" w:space="0"/>
            </w:tcBorders>
            <w:vAlign w:val="center"/>
          </w:tcPr>
          <w:p w14:paraId="66196F58">
            <w:pPr>
              <w:widowControl/>
              <w:spacing w:line="560" w:lineRule="exact"/>
              <w:jc w:val="left"/>
              <w:rPr>
                <w:rFonts w:hint="eastAsia" w:ascii="宋体" w:hAnsi="宋体" w:eastAsia="宋体" w:cs="宋体"/>
                <w:color w:val="000000"/>
                <w:kern w:val="0"/>
                <w:sz w:val="24"/>
                <w:lang w:val="en-US" w:eastAsia="zh-CN"/>
              </w:rPr>
            </w:pPr>
            <w:r>
              <w:rPr>
                <w:rFonts w:hint="eastAsia" w:ascii="宋体" w:hAnsi="宋体" w:cs="宋体"/>
                <w:color w:val="000000"/>
                <w:kern w:val="0"/>
                <w:sz w:val="24"/>
                <w:lang w:val="en-US" w:eastAsia="zh-CN"/>
              </w:rPr>
              <w:t>0</w:t>
            </w:r>
          </w:p>
        </w:tc>
      </w:tr>
      <w:tr w14:paraId="254E9471">
        <w:tblPrEx>
          <w:tblCellMar>
            <w:top w:w="15" w:type="dxa"/>
            <w:left w:w="108" w:type="dxa"/>
            <w:bottom w:w="15" w:type="dxa"/>
            <w:right w:w="108" w:type="dxa"/>
          </w:tblCellMar>
        </w:tblPrEx>
        <w:trPr>
          <w:trHeight w:val="420" w:hRule="atLeast"/>
        </w:trPr>
        <w:tc>
          <w:tcPr>
            <w:tcW w:w="3423" w:type="dxa"/>
            <w:tcBorders>
              <w:top w:val="single" w:color="000000" w:sz="4" w:space="0"/>
              <w:left w:val="single" w:color="000000" w:sz="4" w:space="0"/>
              <w:bottom w:val="single" w:color="000000" w:sz="4" w:space="0"/>
              <w:right w:val="single" w:color="000000" w:sz="4" w:space="0"/>
            </w:tcBorders>
            <w:vAlign w:val="center"/>
          </w:tcPr>
          <w:p w14:paraId="2A914931">
            <w:pPr>
              <w:widowControl/>
              <w:spacing w:line="560" w:lineRule="exact"/>
              <w:jc w:val="left"/>
              <w:rPr>
                <w:rFonts w:ascii="宋体" w:hAnsi="宋体" w:cs="宋体"/>
                <w:color w:val="000000"/>
                <w:kern w:val="0"/>
                <w:sz w:val="24"/>
              </w:rPr>
            </w:pPr>
            <w:r>
              <w:rPr>
                <w:rFonts w:hint="eastAsia" w:ascii="宋体" w:hAnsi="宋体" w:cs="宋体"/>
                <w:color w:val="000000"/>
                <w:kern w:val="0"/>
                <w:sz w:val="24"/>
              </w:rPr>
              <w:t>2.公务接待费</w:t>
            </w:r>
          </w:p>
        </w:tc>
        <w:tc>
          <w:tcPr>
            <w:tcW w:w="2829" w:type="dxa"/>
            <w:gridSpan w:val="2"/>
            <w:tcBorders>
              <w:top w:val="single" w:color="000000" w:sz="4" w:space="0"/>
              <w:left w:val="single" w:color="000000" w:sz="4" w:space="0"/>
              <w:bottom w:val="single" w:color="000000" w:sz="4" w:space="0"/>
              <w:right w:val="single" w:color="000000" w:sz="4" w:space="0"/>
            </w:tcBorders>
            <w:vAlign w:val="center"/>
          </w:tcPr>
          <w:p w14:paraId="66131CEF">
            <w:pPr>
              <w:widowControl/>
              <w:spacing w:line="560" w:lineRule="exact"/>
              <w:jc w:val="left"/>
              <w:rPr>
                <w:rFonts w:hint="eastAsia" w:ascii="宋体" w:hAnsi="宋体" w:eastAsia="宋体" w:cs="宋体"/>
                <w:color w:val="000000"/>
                <w:kern w:val="0"/>
                <w:sz w:val="24"/>
                <w:lang w:val="en-US" w:eastAsia="zh-CN"/>
              </w:rPr>
            </w:pPr>
            <w:r>
              <w:rPr>
                <w:rFonts w:hint="eastAsia" w:ascii="宋体" w:hAnsi="宋体" w:cs="宋体"/>
                <w:color w:val="000000"/>
                <w:kern w:val="0"/>
                <w:sz w:val="24"/>
                <w:lang w:val="en-US" w:eastAsia="zh-CN"/>
              </w:rPr>
              <w:t>0</w:t>
            </w:r>
          </w:p>
        </w:tc>
        <w:tc>
          <w:tcPr>
            <w:tcW w:w="2583" w:type="dxa"/>
            <w:tcBorders>
              <w:top w:val="single" w:color="000000" w:sz="4" w:space="0"/>
              <w:left w:val="single" w:color="000000" w:sz="4" w:space="0"/>
              <w:bottom w:val="single" w:color="000000" w:sz="4" w:space="0"/>
              <w:right w:val="single" w:color="000000" w:sz="4" w:space="0"/>
            </w:tcBorders>
            <w:vAlign w:val="center"/>
          </w:tcPr>
          <w:p w14:paraId="476D5F98">
            <w:pPr>
              <w:widowControl/>
              <w:spacing w:line="560" w:lineRule="exact"/>
              <w:jc w:val="left"/>
              <w:rPr>
                <w:rFonts w:hint="eastAsia" w:ascii="宋体" w:hAnsi="宋体" w:eastAsia="宋体" w:cs="宋体"/>
                <w:color w:val="000000"/>
                <w:kern w:val="0"/>
                <w:sz w:val="24"/>
                <w:lang w:val="en-US" w:eastAsia="zh-CN"/>
              </w:rPr>
            </w:pPr>
            <w:r>
              <w:rPr>
                <w:rFonts w:hint="eastAsia" w:ascii="宋体" w:hAnsi="宋体" w:cs="宋体"/>
                <w:color w:val="000000"/>
                <w:kern w:val="0"/>
                <w:sz w:val="24"/>
                <w:lang w:val="en-US" w:eastAsia="zh-CN"/>
              </w:rPr>
              <w:t>0</w:t>
            </w:r>
          </w:p>
        </w:tc>
      </w:tr>
      <w:tr w14:paraId="1843067E">
        <w:tblPrEx>
          <w:tblCellMar>
            <w:top w:w="15" w:type="dxa"/>
            <w:left w:w="108" w:type="dxa"/>
            <w:bottom w:w="15" w:type="dxa"/>
            <w:right w:w="108" w:type="dxa"/>
          </w:tblCellMar>
        </w:tblPrEx>
        <w:trPr>
          <w:trHeight w:val="420" w:hRule="atLeast"/>
        </w:trPr>
        <w:tc>
          <w:tcPr>
            <w:tcW w:w="3423" w:type="dxa"/>
            <w:tcBorders>
              <w:top w:val="single" w:color="000000" w:sz="4" w:space="0"/>
              <w:left w:val="single" w:color="000000" w:sz="4" w:space="0"/>
              <w:bottom w:val="single" w:color="000000" w:sz="4" w:space="0"/>
              <w:right w:val="single" w:color="000000" w:sz="4" w:space="0"/>
            </w:tcBorders>
            <w:vAlign w:val="center"/>
          </w:tcPr>
          <w:p w14:paraId="15B9A3C8">
            <w:pPr>
              <w:widowControl/>
              <w:spacing w:line="560" w:lineRule="exact"/>
              <w:jc w:val="left"/>
              <w:rPr>
                <w:rFonts w:ascii="宋体" w:hAnsi="宋体" w:cs="宋体"/>
                <w:color w:val="000000"/>
                <w:kern w:val="0"/>
                <w:sz w:val="24"/>
              </w:rPr>
            </w:pPr>
            <w:r>
              <w:rPr>
                <w:rFonts w:hint="eastAsia" w:ascii="宋体" w:hAnsi="宋体" w:cs="宋体"/>
                <w:color w:val="000000"/>
                <w:kern w:val="0"/>
                <w:sz w:val="24"/>
              </w:rPr>
              <w:t>3.公务用车购置及运行费</w:t>
            </w:r>
          </w:p>
        </w:tc>
        <w:tc>
          <w:tcPr>
            <w:tcW w:w="2829" w:type="dxa"/>
            <w:gridSpan w:val="2"/>
            <w:tcBorders>
              <w:top w:val="single" w:color="000000" w:sz="4" w:space="0"/>
              <w:left w:val="single" w:color="000000" w:sz="4" w:space="0"/>
              <w:bottom w:val="single" w:color="000000" w:sz="4" w:space="0"/>
              <w:right w:val="single" w:color="000000" w:sz="4" w:space="0"/>
            </w:tcBorders>
            <w:vAlign w:val="center"/>
          </w:tcPr>
          <w:p w14:paraId="06D18422">
            <w:pPr>
              <w:widowControl/>
              <w:spacing w:line="560" w:lineRule="exact"/>
              <w:jc w:val="left"/>
              <w:rPr>
                <w:rFonts w:hint="eastAsia" w:ascii="宋体" w:hAnsi="宋体" w:eastAsia="宋体" w:cs="宋体"/>
                <w:color w:val="000000"/>
                <w:kern w:val="0"/>
                <w:sz w:val="24"/>
                <w:lang w:val="en-US" w:eastAsia="zh-CN"/>
              </w:rPr>
            </w:pPr>
            <w:r>
              <w:rPr>
                <w:rFonts w:hint="eastAsia" w:ascii="宋体" w:hAnsi="宋体" w:cs="宋体"/>
                <w:color w:val="000000"/>
                <w:kern w:val="0"/>
                <w:sz w:val="24"/>
                <w:lang w:val="en-US" w:eastAsia="zh-CN"/>
              </w:rPr>
              <w:t>4</w:t>
            </w:r>
          </w:p>
        </w:tc>
        <w:tc>
          <w:tcPr>
            <w:tcW w:w="2583" w:type="dxa"/>
            <w:tcBorders>
              <w:top w:val="single" w:color="000000" w:sz="4" w:space="0"/>
              <w:left w:val="single" w:color="000000" w:sz="4" w:space="0"/>
              <w:bottom w:val="single" w:color="000000" w:sz="4" w:space="0"/>
              <w:right w:val="single" w:color="000000" w:sz="4" w:space="0"/>
            </w:tcBorders>
            <w:vAlign w:val="center"/>
          </w:tcPr>
          <w:p w14:paraId="21B40CCB">
            <w:pPr>
              <w:widowControl/>
              <w:spacing w:line="560" w:lineRule="exact"/>
              <w:jc w:val="left"/>
              <w:rPr>
                <w:rFonts w:hint="eastAsia" w:ascii="宋体" w:hAnsi="宋体" w:eastAsia="宋体" w:cs="宋体"/>
                <w:color w:val="000000"/>
                <w:kern w:val="0"/>
                <w:sz w:val="24"/>
                <w:lang w:val="en-US" w:eastAsia="zh-CN"/>
              </w:rPr>
            </w:pPr>
            <w:r>
              <w:rPr>
                <w:rFonts w:hint="eastAsia" w:ascii="宋体" w:hAnsi="宋体" w:cs="宋体"/>
                <w:color w:val="000000"/>
                <w:kern w:val="0"/>
                <w:sz w:val="24"/>
                <w:lang w:val="en-US" w:eastAsia="zh-CN"/>
              </w:rPr>
              <w:t>0</w:t>
            </w:r>
          </w:p>
        </w:tc>
      </w:tr>
      <w:tr w14:paraId="51E6BF6E">
        <w:tblPrEx>
          <w:tblCellMar>
            <w:top w:w="15" w:type="dxa"/>
            <w:left w:w="108" w:type="dxa"/>
            <w:bottom w:w="15" w:type="dxa"/>
            <w:right w:w="108" w:type="dxa"/>
          </w:tblCellMar>
        </w:tblPrEx>
        <w:trPr>
          <w:trHeight w:val="420" w:hRule="atLeast"/>
        </w:trPr>
        <w:tc>
          <w:tcPr>
            <w:tcW w:w="3423" w:type="dxa"/>
            <w:tcBorders>
              <w:top w:val="single" w:color="000000" w:sz="4" w:space="0"/>
              <w:left w:val="single" w:color="000000" w:sz="4" w:space="0"/>
              <w:bottom w:val="single" w:color="000000" w:sz="4" w:space="0"/>
              <w:right w:val="single" w:color="000000" w:sz="4" w:space="0"/>
            </w:tcBorders>
            <w:vAlign w:val="center"/>
          </w:tcPr>
          <w:p w14:paraId="47A96C19">
            <w:pPr>
              <w:widowControl/>
              <w:spacing w:line="560" w:lineRule="exact"/>
              <w:jc w:val="left"/>
              <w:rPr>
                <w:rFonts w:ascii="宋体" w:hAnsi="宋体" w:cs="宋体"/>
                <w:color w:val="000000"/>
                <w:kern w:val="0"/>
                <w:sz w:val="24"/>
              </w:rPr>
            </w:pPr>
            <w:r>
              <w:rPr>
                <w:rFonts w:hint="eastAsia" w:ascii="宋体" w:hAnsi="宋体" w:cs="宋体"/>
                <w:color w:val="000000"/>
                <w:kern w:val="0"/>
                <w:sz w:val="24"/>
              </w:rPr>
              <w:t xml:space="preserve"> 其中：公务用车购置费</w:t>
            </w:r>
          </w:p>
        </w:tc>
        <w:tc>
          <w:tcPr>
            <w:tcW w:w="2829" w:type="dxa"/>
            <w:gridSpan w:val="2"/>
            <w:tcBorders>
              <w:top w:val="single" w:color="000000" w:sz="4" w:space="0"/>
              <w:left w:val="single" w:color="000000" w:sz="4" w:space="0"/>
              <w:bottom w:val="single" w:color="000000" w:sz="4" w:space="0"/>
              <w:right w:val="single" w:color="000000" w:sz="4" w:space="0"/>
            </w:tcBorders>
            <w:vAlign w:val="center"/>
          </w:tcPr>
          <w:p w14:paraId="18189479">
            <w:pPr>
              <w:widowControl/>
              <w:spacing w:line="560" w:lineRule="exact"/>
              <w:jc w:val="left"/>
              <w:rPr>
                <w:rFonts w:hint="eastAsia" w:ascii="宋体" w:hAnsi="宋体" w:eastAsia="宋体" w:cs="宋体"/>
                <w:color w:val="000000"/>
                <w:kern w:val="0"/>
                <w:sz w:val="24"/>
                <w:lang w:val="en-US" w:eastAsia="zh-CN"/>
              </w:rPr>
            </w:pPr>
            <w:r>
              <w:rPr>
                <w:rFonts w:hint="eastAsia" w:ascii="宋体" w:hAnsi="宋体" w:cs="宋体"/>
                <w:color w:val="000000"/>
                <w:kern w:val="0"/>
                <w:sz w:val="24"/>
                <w:lang w:val="en-US" w:eastAsia="zh-CN"/>
              </w:rPr>
              <w:t>0</w:t>
            </w:r>
          </w:p>
        </w:tc>
        <w:tc>
          <w:tcPr>
            <w:tcW w:w="2583" w:type="dxa"/>
            <w:tcBorders>
              <w:top w:val="single" w:color="000000" w:sz="4" w:space="0"/>
              <w:left w:val="single" w:color="000000" w:sz="4" w:space="0"/>
              <w:bottom w:val="single" w:color="000000" w:sz="4" w:space="0"/>
              <w:right w:val="single" w:color="000000" w:sz="4" w:space="0"/>
            </w:tcBorders>
            <w:vAlign w:val="center"/>
          </w:tcPr>
          <w:p w14:paraId="47128225">
            <w:pPr>
              <w:widowControl/>
              <w:spacing w:line="560" w:lineRule="exact"/>
              <w:jc w:val="left"/>
              <w:rPr>
                <w:rFonts w:hint="eastAsia" w:ascii="宋体" w:hAnsi="宋体" w:eastAsia="宋体" w:cs="宋体"/>
                <w:color w:val="000000"/>
                <w:kern w:val="0"/>
                <w:sz w:val="24"/>
                <w:lang w:val="en-US" w:eastAsia="zh-CN"/>
              </w:rPr>
            </w:pPr>
            <w:r>
              <w:rPr>
                <w:rFonts w:hint="eastAsia" w:ascii="宋体" w:hAnsi="宋体" w:cs="宋体"/>
                <w:color w:val="000000"/>
                <w:kern w:val="0"/>
                <w:sz w:val="24"/>
                <w:lang w:val="en-US" w:eastAsia="zh-CN"/>
              </w:rPr>
              <w:t>0</w:t>
            </w:r>
          </w:p>
        </w:tc>
      </w:tr>
      <w:tr w14:paraId="49A88F77">
        <w:tblPrEx>
          <w:tblCellMar>
            <w:top w:w="15" w:type="dxa"/>
            <w:left w:w="108" w:type="dxa"/>
            <w:bottom w:w="15" w:type="dxa"/>
            <w:right w:w="108" w:type="dxa"/>
          </w:tblCellMar>
        </w:tblPrEx>
        <w:trPr>
          <w:trHeight w:val="420" w:hRule="atLeast"/>
        </w:trPr>
        <w:tc>
          <w:tcPr>
            <w:tcW w:w="3423" w:type="dxa"/>
            <w:tcBorders>
              <w:top w:val="single" w:color="000000" w:sz="4" w:space="0"/>
              <w:left w:val="single" w:color="000000" w:sz="4" w:space="0"/>
              <w:bottom w:val="single" w:color="000000" w:sz="4" w:space="0"/>
              <w:right w:val="single" w:color="000000" w:sz="4" w:space="0"/>
            </w:tcBorders>
            <w:vAlign w:val="center"/>
          </w:tcPr>
          <w:p w14:paraId="0C66AC25">
            <w:pPr>
              <w:widowControl/>
              <w:spacing w:line="560" w:lineRule="exact"/>
              <w:jc w:val="left"/>
              <w:rPr>
                <w:rFonts w:ascii="宋体" w:hAnsi="宋体" w:cs="宋体"/>
                <w:color w:val="000000"/>
                <w:kern w:val="0"/>
                <w:sz w:val="24"/>
              </w:rPr>
            </w:pPr>
            <w:r>
              <w:rPr>
                <w:rFonts w:hint="eastAsia" w:ascii="宋体" w:hAnsi="宋体" w:cs="宋体"/>
                <w:color w:val="000000"/>
                <w:kern w:val="0"/>
                <w:sz w:val="24"/>
              </w:rPr>
              <w:t xml:space="preserve">       公务用车运行费</w:t>
            </w:r>
          </w:p>
        </w:tc>
        <w:tc>
          <w:tcPr>
            <w:tcW w:w="2829" w:type="dxa"/>
            <w:gridSpan w:val="2"/>
            <w:tcBorders>
              <w:top w:val="single" w:color="000000" w:sz="4" w:space="0"/>
              <w:left w:val="single" w:color="000000" w:sz="4" w:space="0"/>
              <w:bottom w:val="single" w:color="000000" w:sz="4" w:space="0"/>
              <w:right w:val="single" w:color="000000" w:sz="4" w:space="0"/>
            </w:tcBorders>
            <w:vAlign w:val="center"/>
          </w:tcPr>
          <w:p w14:paraId="4D1A8062">
            <w:pPr>
              <w:widowControl/>
              <w:spacing w:line="560" w:lineRule="exact"/>
              <w:jc w:val="left"/>
              <w:rPr>
                <w:rFonts w:hint="eastAsia" w:ascii="宋体" w:hAnsi="宋体" w:eastAsia="宋体" w:cs="宋体"/>
                <w:color w:val="000000"/>
                <w:kern w:val="0"/>
                <w:sz w:val="24"/>
                <w:lang w:val="en-US" w:eastAsia="zh-CN"/>
              </w:rPr>
            </w:pPr>
            <w:r>
              <w:rPr>
                <w:rFonts w:hint="eastAsia" w:ascii="宋体" w:hAnsi="宋体" w:cs="宋体"/>
                <w:color w:val="000000"/>
                <w:kern w:val="0"/>
                <w:sz w:val="24"/>
                <w:lang w:val="en-US" w:eastAsia="zh-CN"/>
              </w:rPr>
              <w:t>4</w:t>
            </w:r>
          </w:p>
        </w:tc>
        <w:tc>
          <w:tcPr>
            <w:tcW w:w="2583" w:type="dxa"/>
            <w:tcBorders>
              <w:top w:val="single" w:color="000000" w:sz="4" w:space="0"/>
              <w:left w:val="single" w:color="000000" w:sz="4" w:space="0"/>
              <w:bottom w:val="single" w:color="000000" w:sz="4" w:space="0"/>
              <w:right w:val="single" w:color="000000" w:sz="4" w:space="0"/>
            </w:tcBorders>
            <w:vAlign w:val="center"/>
          </w:tcPr>
          <w:p w14:paraId="7919B060">
            <w:pPr>
              <w:widowControl/>
              <w:spacing w:line="560" w:lineRule="exact"/>
              <w:jc w:val="left"/>
              <w:rPr>
                <w:rFonts w:hint="eastAsia" w:ascii="宋体" w:hAnsi="宋体" w:eastAsia="宋体" w:cs="宋体"/>
                <w:color w:val="000000"/>
                <w:kern w:val="0"/>
                <w:sz w:val="24"/>
                <w:lang w:val="en-US" w:eastAsia="zh-CN"/>
              </w:rPr>
            </w:pPr>
            <w:r>
              <w:rPr>
                <w:rFonts w:hint="eastAsia" w:ascii="宋体" w:hAnsi="宋体" w:cs="宋体"/>
                <w:color w:val="000000"/>
                <w:kern w:val="0"/>
                <w:sz w:val="24"/>
                <w:lang w:val="en-US" w:eastAsia="zh-CN"/>
              </w:rPr>
              <w:t>0</w:t>
            </w:r>
          </w:p>
        </w:tc>
      </w:tr>
    </w:tbl>
    <w:p w14:paraId="32F889EB">
      <w:pPr>
        <w:spacing w:line="560" w:lineRule="exact"/>
        <w:ind w:firstLine="646" w:firstLineChars="200"/>
        <w:rPr>
          <w:rFonts w:ascii="仿宋_GB2312" w:hAnsi="宋体" w:eastAsia="仿宋_GB2312"/>
          <w:sz w:val="32"/>
          <w:szCs w:val="32"/>
        </w:rPr>
      </w:pPr>
      <w:r>
        <w:rPr>
          <w:rFonts w:hint="eastAsia" w:ascii="黑体" w:hAnsi="黑体" w:eastAsia="黑体"/>
          <w:sz w:val="32"/>
          <w:szCs w:val="32"/>
        </w:rPr>
        <w:t>六、国有资产占用情况</w:t>
      </w:r>
    </w:p>
    <w:p w14:paraId="356FA7D0">
      <w:pPr>
        <w:spacing w:line="560" w:lineRule="exact"/>
        <w:ind w:firstLine="646" w:firstLineChars="200"/>
        <w:rPr>
          <w:rFonts w:ascii="仿宋_GB2312" w:hAnsi="宋体" w:eastAsia="仿宋_GB2312"/>
          <w:sz w:val="32"/>
          <w:szCs w:val="32"/>
        </w:rPr>
      </w:pPr>
      <w:r>
        <w:rPr>
          <w:rFonts w:hint="eastAsia" w:ascii="仿宋_GB2312" w:hAnsi="宋体" w:eastAsia="仿宋_GB2312"/>
          <w:sz w:val="32"/>
          <w:szCs w:val="32"/>
        </w:rPr>
        <w:t>辽宁省</w:t>
      </w:r>
      <w:r>
        <w:rPr>
          <w:rFonts w:hint="eastAsia" w:ascii="仿宋_GB2312" w:hAnsi="宋体" w:eastAsia="仿宋_GB2312"/>
          <w:sz w:val="32"/>
          <w:szCs w:val="32"/>
          <w:lang w:eastAsia="zh-CN"/>
        </w:rPr>
        <w:t>盘锦市文化馆</w:t>
      </w:r>
      <w:r>
        <w:rPr>
          <w:rFonts w:hint="eastAsia" w:ascii="仿宋_GB2312" w:hAnsi="宋体" w:eastAsia="仿宋_GB2312"/>
          <w:sz w:val="32"/>
          <w:szCs w:val="32"/>
          <w:lang w:val="en-US" w:eastAsia="zh-CN"/>
        </w:rPr>
        <w:t>2025</w:t>
      </w:r>
      <w:r>
        <w:rPr>
          <w:rFonts w:hint="eastAsia" w:ascii="仿宋_GB2312" w:hAnsi="宋体" w:eastAsia="仿宋_GB2312"/>
          <w:sz w:val="32"/>
          <w:szCs w:val="32"/>
        </w:rPr>
        <w:t>年年初预算购置车辆</w:t>
      </w:r>
      <w:r>
        <w:rPr>
          <w:rFonts w:hint="eastAsia" w:ascii="仿宋_GB2312" w:hAnsi="宋体" w:eastAsia="仿宋_GB2312"/>
          <w:sz w:val="32"/>
          <w:szCs w:val="32"/>
          <w:lang w:val="en-US" w:eastAsia="zh-CN"/>
        </w:rPr>
        <w:t>0</w:t>
      </w:r>
      <w:r>
        <w:rPr>
          <w:rFonts w:hint="eastAsia" w:ascii="仿宋_GB2312" w:hAnsi="宋体" w:eastAsia="仿宋_GB2312"/>
          <w:sz w:val="32"/>
          <w:szCs w:val="32"/>
        </w:rPr>
        <w:t>台，金额</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万元，单位价值50万元以上的通用设备</w:t>
      </w:r>
      <w:r>
        <w:rPr>
          <w:rFonts w:hint="eastAsia" w:ascii="仿宋_GB2312" w:hAnsi="宋体" w:eastAsia="仿宋_GB2312"/>
          <w:sz w:val="32"/>
          <w:szCs w:val="32"/>
          <w:lang w:val="en-US" w:eastAsia="zh-CN"/>
        </w:rPr>
        <w:t>0</w:t>
      </w:r>
      <w:r>
        <w:rPr>
          <w:rFonts w:hint="eastAsia" w:ascii="仿宋_GB2312" w:hAnsi="宋体" w:eastAsia="仿宋_GB2312"/>
          <w:sz w:val="32"/>
          <w:szCs w:val="32"/>
        </w:rPr>
        <w:t>台，单位价值100万元以上的专用设备</w:t>
      </w:r>
      <w:r>
        <w:rPr>
          <w:rFonts w:hint="eastAsia" w:ascii="仿宋_GB2312" w:hAnsi="宋体" w:eastAsia="仿宋_GB2312"/>
          <w:sz w:val="32"/>
          <w:szCs w:val="32"/>
          <w:lang w:val="en-US" w:eastAsia="zh-CN"/>
        </w:rPr>
        <w:t>0</w:t>
      </w:r>
      <w:r>
        <w:rPr>
          <w:rFonts w:hint="eastAsia" w:ascii="仿宋_GB2312" w:hAnsi="宋体" w:eastAsia="仿宋_GB2312"/>
          <w:sz w:val="32"/>
          <w:szCs w:val="32"/>
        </w:rPr>
        <w:t>台。</w:t>
      </w:r>
    </w:p>
    <w:p w14:paraId="66F02FDC">
      <w:pPr>
        <w:spacing w:line="560" w:lineRule="exact"/>
        <w:ind w:firstLine="646" w:firstLineChars="200"/>
        <w:rPr>
          <w:rFonts w:ascii="黑体" w:hAnsi="黑体" w:eastAsia="黑体"/>
          <w:sz w:val="32"/>
          <w:szCs w:val="32"/>
        </w:rPr>
      </w:pPr>
      <w:r>
        <w:rPr>
          <w:rFonts w:hint="eastAsia" w:ascii="黑体" w:hAnsi="黑体" w:eastAsia="黑体"/>
          <w:sz w:val="32"/>
          <w:szCs w:val="32"/>
        </w:rPr>
        <w:t>七、预算绩效目标情况</w:t>
      </w:r>
    </w:p>
    <w:p w14:paraId="7C0A82E6">
      <w:pPr>
        <w:spacing w:line="560" w:lineRule="exact"/>
        <w:ind w:firstLine="632" w:firstLineChars="196"/>
        <w:rPr>
          <w:rFonts w:hint="eastAsia" w:ascii="宋体" w:hAnsi="宋体"/>
          <w:b/>
          <w:sz w:val="36"/>
          <w:szCs w:val="36"/>
        </w:rPr>
      </w:pPr>
      <w:r>
        <w:rPr>
          <w:rFonts w:hint="eastAsia" w:ascii="仿宋_GB2312" w:hAnsi="宋体" w:eastAsia="仿宋_GB2312"/>
          <w:sz w:val="32"/>
          <w:szCs w:val="32"/>
        </w:rPr>
        <w:t>根据预算绩效管理要求，辽宁省</w:t>
      </w:r>
      <w:r>
        <w:rPr>
          <w:rFonts w:hint="eastAsia" w:ascii="仿宋_GB2312" w:hAnsi="宋体" w:eastAsia="仿宋_GB2312"/>
          <w:sz w:val="32"/>
          <w:szCs w:val="32"/>
          <w:lang w:eastAsia="zh-CN"/>
        </w:rPr>
        <w:t>盘锦市文化馆</w:t>
      </w:r>
      <w:r>
        <w:rPr>
          <w:rFonts w:hint="eastAsia" w:ascii="仿宋_GB2312" w:hAnsi="宋体" w:eastAsia="仿宋_GB2312"/>
          <w:sz w:val="32"/>
          <w:szCs w:val="32"/>
          <w:lang w:val="en-US" w:eastAsia="zh-CN"/>
        </w:rPr>
        <w:t>2025</w:t>
      </w:r>
      <w:r>
        <w:rPr>
          <w:rFonts w:hint="eastAsia" w:ascii="仿宋_GB2312" w:hAnsi="宋体" w:eastAsia="仿宋_GB2312"/>
          <w:sz w:val="32"/>
          <w:szCs w:val="32"/>
        </w:rPr>
        <w:t>年应编制部门（单位）整体绩效目标共</w:t>
      </w:r>
      <w:r>
        <w:rPr>
          <w:rFonts w:hint="eastAsia" w:ascii="仿宋_GB2312" w:hAnsi="宋体" w:eastAsia="仿宋_GB2312"/>
          <w:sz w:val="32"/>
          <w:szCs w:val="32"/>
          <w:lang w:val="en-US" w:eastAsia="zh-CN"/>
        </w:rPr>
        <w:t>1</w:t>
      </w:r>
      <w:r>
        <w:rPr>
          <w:rFonts w:hint="eastAsia" w:ascii="仿宋_GB2312" w:hAnsi="宋体" w:eastAsia="仿宋_GB2312"/>
          <w:sz w:val="32"/>
          <w:szCs w:val="32"/>
        </w:rPr>
        <w:t>个，实际编制部门（单位）整体绩效目标共</w:t>
      </w:r>
      <w:r>
        <w:rPr>
          <w:rFonts w:hint="eastAsia" w:ascii="仿宋_GB2312" w:hAnsi="宋体" w:eastAsia="仿宋_GB2312"/>
          <w:sz w:val="32"/>
          <w:szCs w:val="32"/>
          <w:lang w:val="en-US" w:eastAsia="zh-CN"/>
        </w:rPr>
        <w:t>1</w:t>
      </w:r>
      <w:r>
        <w:rPr>
          <w:rFonts w:hint="eastAsia" w:ascii="仿宋_GB2312" w:hAnsi="宋体" w:eastAsia="仿宋_GB2312"/>
          <w:sz w:val="32"/>
          <w:szCs w:val="32"/>
        </w:rPr>
        <w:t>个，编制部门（单位）整体绩效目标覆盖率（实际编制绩效目标的</w:t>
      </w:r>
      <w:r>
        <w:rPr>
          <w:rFonts w:hint="eastAsia" w:ascii="仿宋_GB2312" w:hAnsi="宋体" w:eastAsia="仿宋_GB2312"/>
          <w:color w:val="auto"/>
          <w:sz w:val="32"/>
          <w:szCs w:val="32"/>
          <w:highlight w:val="none"/>
        </w:rPr>
        <w:t>数量/应编制绩效目标的数量）为</w:t>
      </w:r>
      <w:r>
        <w:rPr>
          <w:rFonts w:hint="eastAsia" w:ascii="仿宋_GB2312" w:hAnsi="宋体" w:eastAsia="仿宋_GB2312"/>
          <w:color w:val="auto"/>
          <w:sz w:val="32"/>
          <w:szCs w:val="32"/>
          <w:highlight w:val="none"/>
          <w:lang w:val="en-US" w:eastAsia="zh-CN"/>
        </w:rPr>
        <w:t>100</w:t>
      </w:r>
      <w:r>
        <w:rPr>
          <w:rFonts w:hint="eastAsia" w:ascii="仿宋_GB2312" w:hAnsi="宋体" w:eastAsia="仿宋_GB2312"/>
          <w:color w:val="auto"/>
          <w:sz w:val="32"/>
          <w:szCs w:val="32"/>
          <w:highlight w:val="none"/>
        </w:rPr>
        <w:t>%。</w:t>
      </w:r>
      <w:r>
        <w:rPr>
          <w:rFonts w:hint="eastAsia" w:ascii="仿宋_GB2312" w:hAnsi="宋体" w:eastAsia="仿宋_GB2312"/>
          <w:color w:val="auto"/>
          <w:sz w:val="32"/>
          <w:szCs w:val="32"/>
          <w:highlight w:val="none"/>
          <w:lang w:val="en-US" w:eastAsia="zh-CN"/>
        </w:rPr>
        <w:t>2025</w:t>
      </w:r>
      <w:r>
        <w:rPr>
          <w:rFonts w:hint="eastAsia" w:ascii="仿宋_GB2312" w:hAnsi="宋体" w:eastAsia="仿宋_GB2312"/>
          <w:color w:val="auto"/>
          <w:sz w:val="32"/>
          <w:szCs w:val="32"/>
          <w:highlight w:val="none"/>
        </w:rPr>
        <w:t>年应编制绩效目标的</w:t>
      </w:r>
      <w:r>
        <w:rPr>
          <w:rFonts w:hint="eastAsia" w:ascii="仿宋_GB2312" w:hAnsi="宋体" w:eastAsia="仿宋_GB2312"/>
          <w:strike w:val="0"/>
          <w:dstrike w:val="0"/>
          <w:color w:val="auto"/>
          <w:sz w:val="32"/>
          <w:szCs w:val="32"/>
          <w:highlight w:val="none"/>
        </w:rPr>
        <w:t>特定目标类</w:t>
      </w:r>
      <w:r>
        <w:rPr>
          <w:rFonts w:hint="eastAsia" w:ascii="仿宋_GB2312" w:hAnsi="宋体" w:eastAsia="仿宋_GB2312"/>
          <w:strike w:val="0"/>
          <w:dstrike w:val="0"/>
          <w:color w:val="auto"/>
          <w:sz w:val="32"/>
          <w:szCs w:val="32"/>
          <w:highlight w:val="none"/>
          <w:lang w:eastAsia="zh-CN"/>
        </w:rPr>
        <w:t>和其他运转类</w:t>
      </w:r>
      <w:r>
        <w:rPr>
          <w:rFonts w:hint="eastAsia" w:ascii="仿宋_GB2312" w:hAnsi="宋体" w:eastAsia="仿宋_GB2312"/>
          <w:color w:val="auto"/>
          <w:sz w:val="32"/>
          <w:szCs w:val="32"/>
          <w:highlight w:val="none"/>
        </w:rPr>
        <w:t>项目共</w:t>
      </w:r>
      <w:r>
        <w:rPr>
          <w:rFonts w:hint="eastAsia" w:ascii="仿宋_GB2312" w:hAnsi="宋体" w:eastAsia="仿宋_GB2312"/>
          <w:color w:val="auto"/>
          <w:sz w:val="32"/>
          <w:szCs w:val="32"/>
          <w:highlight w:val="none"/>
          <w:lang w:val="en-US" w:eastAsia="zh-CN"/>
        </w:rPr>
        <w:t>3</w:t>
      </w:r>
      <w:r>
        <w:rPr>
          <w:rFonts w:hint="eastAsia" w:ascii="仿宋_GB2312" w:hAnsi="宋体" w:eastAsia="仿宋_GB2312"/>
          <w:color w:val="auto"/>
          <w:sz w:val="32"/>
          <w:szCs w:val="32"/>
          <w:highlight w:val="none"/>
        </w:rPr>
        <w:t>个，实际编制绩效目标的</w:t>
      </w:r>
      <w:r>
        <w:rPr>
          <w:rFonts w:hint="eastAsia" w:ascii="仿宋_GB2312" w:hAnsi="宋体" w:eastAsia="仿宋_GB2312"/>
          <w:strike w:val="0"/>
          <w:dstrike w:val="0"/>
          <w:color w:val="auto"/>
          <w:sz w:val="32"/>
          <w:szCs w:val="32"/>
          <w:highlight w:val="none"/>
        </w:rPr>
        <w:t>特定目标类</w:t>
      </w:r>
      <w:r>
        <w:rPr>
          <w:rFonts w:hint="eastAsia" w:ascii="仿宋_GB2312" w:hAnsi="宋体" w:eastAsia="仿宋_GB2312"/>
          <w:strike w:val="0"/>
          <w:dstrike w:val="0"/>
          <w:color w:val="auto"/>
          <w:sz w:val="32"/>
          <w:szCs w:val="32"/>
          <w:highlight w:val="none"/>
          <w:lang w:eastAsia="zh-CN"/>
        </w:rPr>
        <w:t>和其他运转类</w:t>
      </w:r>
      <w:r>
        <w:rPr>
          <w:rFonts w:hint="eastAsia" w:ascii="仿宋_GB2312" w:hAnsi="宋体" w:eastAsia="仿宋_GB2312"/>
          <w:color w:val="auto"/>
          <w:sz w:val="32"/>
          <w:szCs w:val="32"/>
          <w:highlight w:val="none"/>
        </w:rPr>
        <w:t>项目共</w:t>
      </w:r>
      <w:r>
        <w:rPr>
          <w:rFonts w:hint="eastAsia" w:ascii="仿宋_GB2312" w:hAnsi="宋体" w:eastAsia="仿宋_GB2312"/>
          <w:color w:val="auto"/>
          <w:sz w:val="32"/>
          <w:szCs w:val="32"/>
          <w:highlight w:val="none"/>
          <w:lang w:val="en-US" w:eastAsia="zh-CN"/>
        </w:rPr>
        <w:t>3</w:t>
      </w:r>
      <w:r>
        <w:rPr>
          <w:rFonts w:hint="eastAsia" w:ascii="仿宋_GB2312" w:hAnsi="宋体" w:eastAsia="仿宋_GB2312"/>
          <w:color w:val="auto"/>
          <w:sz w:val="32"/>
          <w:szCs w:val="32"/>
          <w:highlight w:val="none"/>
        </w:rPr>
        <w:t>个，涉及资金</w:t>
      </w:r>
      <w:r>
        <w:rPr>
          <w:rFonts w:hint="eastAsia" w:ascii="仿宋_GB2312" w:hAnsi="宋体" w:eastAsia="仿宋_GB2312"/>
          <w:color w:val="auto"/>
          <w:sz w:val="32"/>
          <w:szCs w:val="32"/>
          <w:highlight w:val="none"/>
          <w:lang w:val="en-US" w:eastAsia="zh-CN"/>
        </w:rPr>
        <w:t>31.00</w:t>
      </w:r>
      <w:r>
        <w:rPr>
          <w:rFonts w:hint="eastAsia" w:ascii="仿宋_GB2312" w:hAnsi="宋体" w:eastAsia="仿宋_GB2312"/>
          <w:color w:val="auto"/>
          <w:sz w:val="32"/>
          <w:szCs w:val="32"/>
          <w:highlight w:val="none"/>
        </w:rPr>
        <w:t>万元，编制</w:t>
      </w:r>
      <w:r>
        <w:rPr>
          <w:rFonts w:hint="eastAsia" w:ascii="仿宋_GB2312" w:hAnsi="宋体" w:eastAsia="仿宋_GB2312"/>
          <w:strike w:val="0"/>
          <w:dstrike w:val="0"/>
          <w:color w:val="auto"/>
          <w:sz w:val="32"/>
          <w:szCs w:val="32"/>
          <w:highlight w:val="none"/>
        </w:rPr>
        <w:t>特定目标类</w:t>
      </w:r>
      <w:r>
        <w:rPr>
          <w:rFonts w:hint="eastAsia" w:ascii="仿宋_GB2312" w:hAnsi="宋体" w:eastAsia="仿宋_GB2312"/>
          <w:strike w:val="0"/>
          <w:dstrike w:val="0"/>
          <w:color w:val="auto"/>
          <w:sz w:val="32"/>
          <w:szCs w:val="32"/>
          <w:highlight w:val="none"/>
          <w:lang w:eastAsia="zh-CN"/>
        </w:rPr>
        <w:t>和其他运转类</w:t>
      </w:r>
      <w:r>
        <w:rPr>
          <w:rFonts w:hint="eastAsia" w:ascii="仿宋_GB2312" w:hAnsi="宋体" w:eastAsia="仿宋_GB2312"/>
          <w:color w:val="auto"/>
          <w:sz w:val="32"/>
          <w:szCs w:val="32"/>
          <w:highlight w:val="none"/>
        </w:rPr>
        <w:t>绩效目标的项目覆盖率（实际编制绩效目标的数量/应编制绩效目标的数量）为</w:t>
      </w:r>
      <w:r>
        <w:rPr>
          <w:rFonts w:hint="eastAsia" w:ascii="仿宋_GB2312" w:hAnsi="宋体" w:eastAsia="仿宋_GB2312"/>
          <w:color w:val="auto"/>
          <w:sz w:val="32"/>
          <w:szCs w:val="32"/>
          <w:highlight w:val="none"/>
          <w:lang w:val="en-US" w:eastAsia="zh-CN"/>
        </w:rPr>
        <w:t>100</w:t>
      </w:r>
      <w:r>
        <w:rPr>
          <w:rFonts w:hint="eastAsia" w:ascii="仿宋_GB2312" w:hAnsi="宋体" w:eastAsia="仿宋_GB2312"/>
          <w:color w:val="auto"/>
          <w:sz w:val="32"/>
          <w:szCs w:val="32"/>
          <w:highlight w:val="none"/>
        </w:rPr>
        <w:t>%。</w:t>
      </w:r>
    </w:p>
    <w:p w14:paraId="0CAA0AF2">
      <w:pPr>
        <w:spacing w:line="560" w:lineRule="exact"/>
        <w:jc w:val="center"/>
        <w:rPr>
          <w:rFonts w:ascii="宋体" w:hAnsi="宋体"/>
          <w:b/>
          <w:sz w:val="36"/>
          <w:szCs w:val="36"/>
        </w:rPr>
      </w:pPr>
      <w:r>
        <w:rPr>
          <w:rFonts w:hint="eastAsia" w:ascii="宋体" w:hAnsi="宋体"/>
          <w:b/>
          <w:sz w:val="36"/>
          <w:szCs w:val="36"/>
        </w:rPr>
        <w:t>第四部分 名词解释</w:t>
      </w:r>
    </w:p>
    <w:p w14:paraId="754B19FF">
      <w:pPr>
        <w:spacing w:line="560" w:lineRule="exact"/>
        <w:jc w:val="center"/>
        <w:rPr>
          <w:rFonts w:ascii="仿宋_GB2312" w:eastAsia="仿宋_GB2312"/>
          <w:sz w:val="32"/>
          <w:szCs w:val="32"/>
        </w:rPr>
      </w:pPr>
    </w:p>
    <w:p w14:paraId="54F0DF7B">
      <w:pPr>
        <w:spacing w:line="560" w:lineRule="exact"/>
        <w:ind w:firstLine="646" w:firstLineChars="200"/>
        <w:jc w:val="left"/>
        <w:rPr>
          <w:rFonts w:ascii="仿宋_GB2312" w:hAnsi="仿宋_GB2312" w:eastAsia="仿宋_GB2312" w:cs="仿宋_GB2312"/>
          <w:sz w:val="32"/>
          <w:szCs w:val="32"/>
        </w:rPr>
      </w:pPr>
      <w:r>
        <w:rPr>
          <w:rFonts w:hint="eastAsia" w:ascii="仿宋_GB2312" w:eastAsia="仿宋_GB2312"/>
          <w:b/>
          <w:sz w:val="32"/>
          <w:szCs w:val="32"/>
        </w:rPr>
        <w:t>1.一般公共预算：</w:t>
      </w:r>
      <w:r>
        <w:rPr>
          <w:rFonts w:hint="eastAsia" w:ascii="仿宋_GB2312" w:hAnsi="仿宋_GB2312" w:eastAsia="仿宋_GB2312" w:cs="仿宋_GB2312"/>
          <w:sz w:val="32"/>
          <w:szCs w:val="32"/>
        </w:rPr>
        <w:t>是对以税收为主体的财政收入，安排用于保障和改善民生、推动经济社会发展、维护国家安全、维持国家机构正常运转等方面的收支预算。</w:t>
      </w:r>
    </w:p>
    <w:p w14:paraId="2ECCCC3B">
      <w:pPr>
        <w:spacing w:line="560" w:lineRule="exact"/>
        <w:ind w:firstLine="646" w:firstLineChars="200"/>
        <w:jc w:val="left"/>
        <w:rPr>
          <w:rFonts w:ascii="仿宋_GB2312" w:eastAsia="仿宋_GB2312"/>
          <w:sz w:val="32"/>
          <w:szCs w:val="32"/>
        </w:rPr>
      </w:pPr>
      <w:r>
        <w:rPr>
          <w:rFonts w:hint="eastAsia" w:ascii="仿宋_GB2312" w:eastAsia="仿宋_GB2312"/>
          <w:b/>
          <w:sz w:val="32"/>
          <w:szCs w:val="32"/>
        </w:rPr>
        <w:t>2.基本支出：</w:t>
      </w:r>
      <w:r>
        <w:rPr>
          <w:rFonts w:hint="eastAsia" w:ascii="仿宋_GB2312" w:eastAsia="仿宋_GB2312"/>
          <w:sz w:val="32"/>
          <w:szCs w:val="32"/>
        </w:rPr>
        <w:t>是为保障机构正常运转、完成日常工作任务而发生的支出，包括人员经费和公用经费。</w:t>
      </w:r>
    </w:p>
    <w:p w14:paraId="6BB94D36">
      <w:pPr>
        <w:spacing w:line="560" w:lineRule="exact"/>
        <w:ind w:firstLine="646" w:firstLineChars="200"/>
        <w:jc w:val="left"/>
        <w:rPr>
          <w:rFonts w:ascii="仿宋_GB2312" w:eastAsia="仿宋_GB2312"/>
          <w:sz w:val="32"/>
          <w:szCs w:val="32"/>
        </w:rPr>
      </w:pPr>
      <w:r>
        <w:rPr>
          <w:rFonts w:hint="eastAsia" w:ascii="仿宋_GB2312" w:eastAsia="仿宋_GB2312"/>
          <w:b/>
          <w:sz w:val="32"/>
          <w:szCs w:val="32"/>
        </w:rPr>
        <w:t>3.项目支出：</w:t>
      </w:r>
      <w:r>
        <w:rPr>
          <w:rFonts w:hint="eastAsia" w:ascii="仿宋_GB2312" w:eastAsia="仿宋_GB2312"/>
          <w:sz w:val="32"/>
          <w:szCs w:val="32"/>
        </w:rPr>
        <w:t>指为完成特定工作任务和事业发展目标所发生的支出。</w:t>
      </w:r>
    </w:p>
    <w:p w14:paraId="790B7EEC">
      <w:pPr>
        <w:spacing w:line="560" w:lineRule="exact"/>
        <w:ind w:firstLine="646" w:firstLineChars="200"/>
        <w:jc w:val="left"/>
        <w:rPr>
          <w:rFonts w:ascii="仿宋_GB2312" w:eastAsia="仿宋_GB2312"/>
          <w:b/>
          <w:sz w:val="32"/>
          <w:szCs w:val="32"/>
        </w:rPr>
      </w:pPr>
      <w:r>
        <w:rPr>
          <w:rFonts w:hint="eastAsia" w:ascii="仿宋_GB2312" w:eastAsia="仿宋_GB2312"/>
          <w:b/>
          <w:sz w:val="32"/>
          <w:szCs w:val="32"/>
        </w:rPr>
        <w:t>4.机关运行经费：</w:t>
      </w:r>
      <w:r>
        <w:rPr>
          <w:rFonts w:hint="eastAsia" w:ascii="仿宋_GB2312" w:eastAsia="仿宋_GB2312"/>
          <w:sz w:val="32"/>
          <w:szCs w:val="32"/>
        </w:rPr>
        <w:t>是指行政机关及参公单位的公用经费，包括办公及印刷费、邮电费、差旅费、会议费、福利费、日常维护费、专用材料及一般设备购置费、办公用房水电费、办公用房取暖费、办公用房物业管理费、办公用车运行维护费以及其他费用。</w:t>
      </w:r>
    </w:p>
    <w:p w14:paraId="26CEE722">
      <w:pPr>
        <w:spacing w:line="560" w:lineRule="exact"/>
        <w:ind w:firstLine="646" w:firstLineChars="200"/>
        <w:jc w:val="left"/>
        <w:rPr>
          <w:rFonts w:ascii="仿宋_GB2312" w:eastAsia="仿宋_GB2312"/>
          <w:sz w:val="32"/>
          <w:szCs w:val="32"/>
        </w:rPr>
      </w:pPr>
      <w:r>
        <w:rPr>
          <w:rFonts w:hint="eastAsia" w:ascii="仿宋_GB2312" w:eastAsia="仿宋_GB2312"/>
          <w:b/>
          <w:sz w:val="32"/>
          <w:szCs w:val="32"/>
        </w:rPr>
        <w:t>5.上年结转：</w:t>
      </w:r>
      <w:r>
        <w:rPr>
          <w:rFonts w:hint="eastAsia" w:ascii="仿宋_GB2312" w:eastAsia="仿宋_GB2312"/>
          <w:sz w:val="32"/>
          <w:szCs w:val="32"/>
        </w:rPr>
        <w:t>指以前年度尚未使用完毕，结转到本年仍按原规定用途继续使用的资金。</w:t>
      </w:r>
    </w:p>
    <w:p w14:paraId="440D072C">
      <w:pPr>
        <w:spacing w:line="560" w:lineRule="exact"/>
        <w:ind w:firstLine="646" w:firstLineChars="200"/>
        <w:jc w:val="left"/>
        <w:rPr>
          <w:rFonts w:ascii="仿宋_GB2312" w:eastAsia="仿宋_GB2312"/>
          <w:sz w:val="32"/>
          <w:szCs w:val="32"/>
        </w:rPr>
      </w:pPr>
      <w:r>
        <w:rPr>
          <w:rFonts w:hint="eastAsia" w:ascii="仿宋_GB2312" w:eastAsia="仿宋_GB2312"/>
          <w:b/>
          <w:sz w:val="32"/>
          <w:szCs w:val="32"/>
        </w:rPr>
        <w:t>6.“三公”经费：</w:t>
      </w:r>
      <w:r>
        <w:rPr>
          <w:rFonts w:hint="eastAsia" w:ascii="仿宋_GB2312" w:eastAsia="仿宋_GB2312"/>
          <w:sz w:val="32"/>
          <w:szCs w:val="32"/>
        </w:rPr>
        <w:t>指用</w:t>
      </w:r>
      <w:r>
        <w:rPr>
          <w:rFonts w:hint="eastAsia" w:ascii="仿宋_GB2312" w:eastAsia="仿宋_GB2312"/>
          <w:sz w:val="32"/>
          <w:szCs w:val="32"/>
          <w:lang w:eastAsia="zh-CN"/>
        </w:rPr>
        <w:t>财政拨款</w:t>
      </w:r>
      <w:r>
        <w:rPr>
          <w:rFonts w:hint="eastAsia" w:ascii="仿宋_GB2312" w:eastAsia="仿宋_GB2312"/>
          <w:sz w:val="32"/>
          <w:szCs w:val="32"/>
        </w:rPr>
        <w:t>预算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燃料费、维修费、过路过桥费、保险费、安全奖励费用等支出；公务接待费反映单位为执行公务或开展业务活动需要合理开支的接待费用。</w:t>
      </w:r>
    </w:p>
    <w:p w14:paraId="017E2C80">
      <w:pPr>
        <w:spacing w:line="560" w:lineRule="exact"/>
        <w:ind w:firstLine="646" w:firstLineChars="200"/>
        <w:jc w:val="left"/>
        <w:rPr>
          <w:rFonts w:ascii="仿宋_GB2312" w:eastAsia="仿宋_GB2312"/>
          <w:b/>
          <w:sz w:val="32"/>
          <w:szCs w:val="32"/>
        </w:rPr>
      </w:pPr>
      <w:r>
        <w:rPr>
          <w:rFonts w:hint="eastAsia" w:ascii="仿宋_GB2312" w:eastAsia="仿宋_GB2312"/>
          <w:b/>
          <w:sz w:val="32"/>
          <w:szCs w:val="32"/>
        </w:rPr>
        <w:t>7.一般公共服务支出（类）财政事务（款）行政运行（项）：</w:t>
      </w:r>
      <w:r>
        <w:rPr>
          <w:rFonts w:hint="eastAsia" w:ascii="仿宋_GB2312" w:eastAsia="仿宋_GB2312"/>
          <w:sz w:val="32"/>
          <w:szCs w:val="32"/>
        </w:rPr>
        <w:t>反映行政单位（包括实行公务员管理的事业单位）的基本支出。</w:t>
      </w:r>
    </w:p>
    <w:p w14:paraId="2AC4CE8B">
      <w:pPr>
        <w:spacing w:line="560" w:lineRule="exact"/>
        <w:ind w:firstLine="646" w:firstLineChars="200"/>
        <w:jc w:val="left"/>
        <w:rPr>
          <w:rFonts w:ascii="仿宋_GB2312" w:eastAsia="仿宋_GB2312"/>
          <w:b/>
          <w:sz w:val="32"/>
          <w:szCs w:val="32"/>
        </w:rPr>
      </w:pPr>
      <w:r>
        <w:rPr>
          <w:rFonts w:hint="eastAsia" w:ascii="仿宋_GB2312" w:eastAsia="仿宋_GB2312"/>
          <w:b/>
          <w:sz w:val="32"/>
          <w:szCs w:val="32"/>
        </w:rPr>
        <w:t>8.一般公共服务支出（类）财政事务（款）一般行政管理事务（项）：</w:t>
      </w:r>
      <w:r>
        <w:rPr>
          <w:rFonts w:hint="eastAsia" w:ascii="仿宋_GB2312" w:eastAsia="仿宋_GB2312"/>
          <w:sz w:val="32"/>
          <w:szCs w:val="32"/>
        </w:rPr>
        <w:t>反映行政单位（包括实行公务员管理的事业单位）未单独设置项级科目的其他项目支出。</w:t>
      </w:r>
    </w:p>
    <w:p w14:paraId="3C222D74">
      <w:pPr>
        <w:spacing w:line="560" w:lineRule="exact"/>
        <w:ind w:firstLine="646" w:firstLineChars="200"/>
        <w:jc w:val="left"/>
        <w:rPr>
          <w:rFonts w:ascii="仿宋_GB2312" w:eastAsia="仿宋_GB2312"/>
          <w:b/>
          <w:sz w:val="32"/>
          <w:szCs w:val="32"/>
        </w:rPr>
      </w:pPr>
      <w:r>
        <w:rPr>
          <w:rFonts w:hint="eastAsia" w:ascii="仿宋_GB2312" w:eastAsia="仿宋_GB2312"/>
          <w:b/>
          <w:sz w:val="32"/>
          <w:szCs w:val="32"/>
        </w:rPr>
        <w:t>9.一般公共服务支出（类）财政事务（款）事业运行（项）：</w:t>
      </w:r>
      <w:r>
        <w:rPr>
          <w:rFonts w:hint="eastAsia" w:ascii="仿宋_GB2312" w:eastAsia="仿宋_GB2312"/>
          <w:sz w:val="32"/>
          <w:szCs w:val="32"/>
        </w:rPr>
        <w:t>反映事业单位的基本支出，不包括行政单位（包括实行公务员管理的事业单位）后勤服务中心、医务室等附属事业单位。</w:t>
      </w:r>
    </w:p>
    <w:p w14:paraId="05846662">
      <w:pPr>
        <w:spacing w:line="560" w:lineRule="exact"/>
        <w:ind w:firstLine="646" w:firstLineChars="200"/>
        <w:jc w:val="left"/>
        <w:rPr>
          <w:rFonts w:hint="eastAsia" w:ascii="仿宋_GB2312" w:eastAsia="仿宋_GB2312"/>
          <w:sz w:val="32"/>
          <w:szCs w:val="32"/>
        </w:rPr>
      </w:pPr>
      <w:r>
        <w:rPr>
          <w:rFonts w:hint="eastAsia" w:ascii="仿宋_GB2312" w:eastAsia="仿宋_GB2312"/>
          <w:b/>
          <w:sz w:val="32"/>
          <w:szCs w:val="32"/>
        </w:rPr>
        <w:t>10.一般公共服务支出（类）财政事务（款）其他财政事务支出（项）：</w:t>
      </w:r>
      <w:r>
        <w:rPr>
          <w:rFonts w:hint="eastAsia" w:ascii="仿宋_GB2312" w:eastAsia="仿宋_GB2312"/>
          <w:sz w:val="32"/>
          <w:szCs w:val="32"/>
        </w:rPr>
        <w:t>反映除上述项目以外其他财政事务方面的支出。</w:t>
      </w:r>
    </w:p>
    <w:p w14:paraId="1959FF91">
      <w:pPr>
        <w:spacing w:line="560" w:lineRule="exact"/>
        <w:ind w:firstLine="646" w:firstLineChars="200"/>
        <w:jc w:val="left"/>
        <w:rPr>
          <w:rFonts w:hint="eastAsia" w:ascii="仿宋_GB2312" w:hAnsi="仿宋_GB2312" w:eastAsia="仿宋_GB2312" w:cs="仿宋_GB2312"/>
          <w:bCs/>
          <w:sz w:val="32"/>
          <w:szCs w:val="32"/>
        </w:rPr>
      </w:pPr>
      <w:r>
        <w:rPr>
          <w:rFonts w:hint="eastAsia" w:ascii="仿宋_GB2312" w:eastAsia="仿宋_GB2312"/>
          <w:b/>
          <w:bCs/>
          <w:sz w:val="32"/>
          <w:szCs w:val="32"/>
          <w:lang w:val="en-US" w:eastAsia="zh-CN"/>
        </w:rPr>
        <w:t>11.</w:t>
      </w:r>
      <w:r>
        <w:rPr>
          <w:rFonts w:hint="eastAsia" w:ascii="仿宋_GB2312" w:hAnsi="仿宋_GB2312" w:eastAsia="仿宋_GB2312" w:cs="仿宋_GB2312"/>
          <w:b/>
          <w:bCs/>
          <w:sz w:val="32"/>
          <w:szCs w:val="32"/>
        </w:rPr>
        <w:t>行政事业性收费收入：</w:t>
      </w:r>
      <w:r>
        <w:rPr>
          <w:rFonts w:hint="eastAsia" w:ascii="仿宋_GB2312" w:hAnsi="仿宋_GB2312" w:eastAsia="仿宋_GB2312" w:cs="仿宋_GB2312"/>
          <w:bCs/>
          <w:sz w:val="32"/>
          <w:szCs w:val="32"/>
        </w:rPr>
        <w:t>指依据法律、行政法规、国务院有关规定、国务院财政部门会同价格主管部门共同发布的规章或者规定，省、自治区、直辖市人民政府财政部门会同价格主管部门共同发布的规定所收取的各项收费收入。</w:t>
      </w:r>
    </w:p>
    <w:p w14:paraId="76B896C8">
      <w:pPr>
        <w:spacing w:line="600" w:lineRule="exac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　</w:t>
      </w:r>
      <w:r>
        <w:rPr>
          <w:rFonts w:hint="eastAsia" w:ascii="仿宋_GB2312" w:hAnsi="仿宋_GB2312" w:eastAsia="仿宋_GB2312" w:cs="仿宋_GB2312"/>
          <w:b/>
          <w:bCs w:val="0"/>
          <w:sz w:val="32"/>
          <w:szCs w:val="32"/>
        </w:rPr>
        <w:t>　</w:t>
      </w:r>
      <w:r>
        <w:rPr>
          <w:rFonts w:hint="eastAsia" w:ascii="仿宋_GB2312" w:hAnsi="仿宋_GB2312" w:eastAsia="仿宋_GB2312" w:cs="仿宋_GB2312"/>
          <w:b/>
          <w:bCs w:val="0"/>
          <w:sz w:val="32"/>
          <w:szCs w:val="32"/>
          <w:lang w:val="en-US" w:eastAsia="zh-CN"/>
        </w:rPr>
        <w:t>12.</w:t>
      </w:r>
      <w:r>
        <w:rPr>
          <w:rFonts w:hint="eastAsia" w:ascii="仿宋_GB2312" w:hAnsi="仿宋_GB2312" w:eastAsia="仿宋_GB2312" w:cs="仿宋_GB2312"/>
          <w:b/>
          <w:bCs w:val="0"/>
          <w:sz w:val="32"/>
          <w:szCs w:val="32"/>
        </w:rPr>
        <w:t>政府性基金收入</w:t>
      </w:r>
      <w:r>
        <w:rPr>
          <w:rFonts w:hint="eastAsia" w:ascii="仿宋_GB2312" w:hAnsi="仿宋_GB2312" w:eastAsia="仿宋_GB2312" w:cs="仿宋_GB2312"/>
          <w:bCs/>
          <w:sz w:val="32"/>
          <w:szCs w:val="32"/>
        </w:rPr>
        <w:t>：反映各级政府及其所属部门根据法律、行政法规规定并经国务院或财政部批准，向公民、法人和其他组织征收的政府性基金，以及参照政府性基金管理或纳入基金预算、具有特定用途的财政资金。</w:t>
      </w:r>
    </w:p>
    <w:p w14:paraId="287AED6F">
      <w:pPr>
        <w:spacing w:line="600" w:lineRule="exac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　　</w:t>
      </w:r>
      <w:r>
        <w:rPr>
          <w:rFonts w:hint="eastAsia" w:ascii="仿宋_GB2312" w:hAnsi="仿宋_GB2312" w:eastAsia="仿宋_GB2312" w:cs="仿宋_GB2312"/>
          <w:b/>
          <w:bCs w:val="0"/>
          <w:sz w:val="32"/>
          <w:szCs w:val="32"/>
          <w:lang w:val="en-US" w:eastAsia="zh-CN"/>
        </w:rPr>
        <w:t>13</w:t>
      </w:r>
      <w:r>
        <w:rPr>
          <w:rFonts w:hint="eastAsia" w:ascii="仿宋_GB2312" w:hAnsi="仿宋_GB2312" w:eastAsia="仿宋_GB2312" w:cs="仿宋_GB2312"/>
          <w:b/>
          <w:bCs w:val="0"/>
          <w:sz w:val="32"/>
          <w:szCs w:val="32"/>
        </w:rPr>
        <w:t>.其他收入：</w:t>
      </w:r>
      <w:r>
        <w:rPr>
          <w:rFonts w:hint="eastAsia" w:ascii="仿宋_GB2312" w:hAnsi="仿宋_GB2312" w:eastAsia="仿宋_GB2312" w:cs="仿宋_GB2312"/>
          <w:bCs/>
          <w:sz w:val="32"/>
          <w:szCs w:val="32"/>
        </w:rPr>
        <w:t>指除上述“财政拨款收入”、“行政事业性收费收入”、“政府性基金收入”以外的收入。</w:t>
      </w:r>
    </w:p>
    <w:p w14:paraId="1B255B20">
      <w:pPr>
        <w:spacing w:line="600" w:lineRule="exac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　　</w:t>
      </w:r>
      <w:r>
        <w:rPr>
          <w:rFonts w:hint="eastAsia" w:ascii="仿宋_GB2312" w:hAnsi="仿宋_GB2312" w:eastAsia="仿宋_GB2312" w:cs="仿宋_GB2312"/>
          <w:b/>
          <w:bCs w:val="0"/>
          <w:sz w:val="32"/>
          <w:szCs w:val="32"/>
          <w:lang w:val="en-US" w:eastAsia="zh-CN"/>
        </w:rPr>
        <w:t>14</w:t>
      </w:r>
      <w:r>
        <w:rPr>
          <w:rFonts w:hint="eastAsia" w:ascii="仿宋_GB2312" w:hAnsi="仿宋_GB2312" w:eastAsia="仿宋_GB2312" w:cs="仿宋_GB2312"/>
          <w:b/>
          <w:bCs w:val="0"/>
          <w:sz w:val="32"/>
          <w:szCs w:val="32"/>
        </w:rPr>
        <w:t>.社会保障和就业（类）行政事业单位离退休（款）归口管理的行政单位离退休（项）：</w:t>
      </w:r>
      <w:r>
        <w:rPr>
          <w:rFonts w:hint="eastAsia" w:ascii="仿宋_GB2312" w:hAnsi="仿宋_GB2312" w:eastAsia="仿宋_GB2312" w:cs="仿宋_GB2312"/>
          <w:bCs/>
          <w:sz w:val="32"/>
          <w:szCs w:val="32"/>
        </w:rPr>
        <w:t>反映实行归口管理的行政单位（包括实行公务员管理的事业单位）开支的离退休经费。</w:t>
      </w:r>
    </w:p>
    <w:p w14:paraId="2AD4CE24">
      <w:pPr>
        <w:spacing w:line="600" w:lineRule="exac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　</w:t>
      </w:r>
      <w:r>
        <w:rPr>
          <w:rFonts w:hint="eastAsia" w:ascii="仿宋_GB2312" w:hAnsi="仿宋_GB2312" w:eastAsia="仿宋_GB2312" w:cs="仿宋_GB2312"/>
          <w:b/>
          <w:bCs w:val="0"/>
          <w:sz w:val="32"/>
          <w:szCs w:val="32"/>
        </w:rPr>
        <w:t>　1</w:t>
      </w:r>
      <w:r>
        <w:rPr>
          <w:rFonts w:hint="eastAsia" w:ascii="仿宋_GB2312" w:hAnsi="仿宋_GB2312" w:eastAsia="仿宋_GB2312" w:cs="仿宋_GB2312"/>
          <w:b/>
          <w:bCs w:val="0"/>
          <w:sz w:val="32"/>
          <w:szCs w:val="32"/>
          <w:lang w:val="en-US" w:eastAsia="zh-CN"/>
        </w:rPr>
        <w:t>5</w:t>
      </w:r>
      <w:r>
        <w:rPr>
          <w:rFonts w:hint="eastAsia" w:ascii="仿宋_GB2312" w:hAnsi="仿宋_GB2312" w:eastAsia="仿宋_GB2312" w:cs="仿宋_GB2312"/>
          <w:b/>
          <w:bCs w:val="0"/>
          <w:sz w:val="32"/>
          <w:szCs w:val="32"/>
        </w:rPr>
        <w:t>.社会保障和就业（类）行政事业单位离退休（款）事业单位离退休（项）：</w:t>
      </w:r>
      <w:r>
        <w:rPr>
          <w:rFonts w:hint="eastAsia" w:ascii="仿宋_GB2312" w:hAnsi="仿宋_GB2312" w:eastAsia="仿宋_GB2312" w:cs="仿宋_GB2312"/>
          <w:bCs/>
          <w:sz w:val="32"/>
          <w:szCs w:val="32"/>
        </w:rPr>
        <w:t>反映实行归口管理的事业单位开支的离退休经费。</w:t>
      </w:r>
    </w:p>
    <w:p w14:paraId="4E2D8024">
      <w:pPr>
        <w:spacing w:line="600" w:lineRule="exac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　　</w:t>
      </w:r>
      <w:r>
        <w:rPr>
          <w:rFonts w:hint="eastAsia" w:ascii="仿宋_GB2312" w:hAnsi="仿宋_GB2312" w:eastAsia="仿宋_GB2312" w:cs="仿宋_GB2312"/>
          <w:b/>
          <w:bCs w:val="0"/>
          <w:sz w:val="32"/>
          <w:szCs w:val="32"/>
        </w:rPr>
        <w:t>1</w:t>
      </w:r>
      <w:r>
        <w:rPr>
          <w:rFonts w:hint="eastAsia" w:ascii="仿宋_GB2312" w:hAnsi="仿宋_GB2312" w:eastAsia="仿宋_GB2312" w:cs="仿宋_GB2312"/>
          <w:b/>
          <w:bCs w:val="0"/>
          <w:sz w:val="32"/>
          <w:szCs w:val="32"/>
          <w:lang w:val="en-US" w:eastAsia="zh-CN"/>
        </w:rPr>
        <w:t>6</w:t>
      </w:r>
      <w:r>
        <w:rPr>
          <w:rFonts w:hint="eastAsia" w:ascii="仿宋_GB2312" w:hAnsi="仿宋_GB2312" w:eastAsia="仿宋_GB2312" w:cs="仿宋_GB2312"/>
          <w:b/>
          <w:bCs w:val="0"/>
          <w:sz w:val="32"/>
          <w:szCs w:val="32"/>
        </w:rPr>
        <w:t>.卫生健康类（类）行政事业单位医疗（款）行政单位医疗（项）：</w:t>
      </w:r>
      <w:r>
        <w:rPr>
          <w:rFonts w:hint="eastAsia" w:ascii="仿宋_GB2312" w:hAnsi="仿宋_GB2312" w:eastAsia="仿宋_GB2312" w:cs="仿宋_GB2312"/>
          <w:bCs/>
          <w:sz w:val="32"/>
          <w:szCs w:val="32"/>
        </w:rPr>
        <w:t>反映财政部门安排的行政单位（包括实行公务员管理的事业单位，下同）基本医疗保险缴费经费，未参加医疗保险的行政单位的公费医疗经费，按国家规定享受离休人员、红军老战士待遇人员的医疗经费。</w:t>
      </w:r>
    </w:p>
    <w:p w14:paraId="26348A7D">
      <w:pPr>
        <w:spacing w:line="600" w:lineRule="exac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　　</w:t>
      </w:r>
      <w:r>
        <w:rPr>
          <w:rFonts w:hint="eastAsia" w:ascii="仿宋_GB2312" w:hAnsi="仿宋_GB2312" w:eastAsia="仿宋_GB2312" w:cs="仿宋_GB2312"/>
          <w:b/>
          <w:bCs w:val="0"/>
          <w:sz w:val="32"/>
          <w:szCs w:val="32"/>
        </w:rPr>
        <w:t>1</w:t>
      </w:r>
      <w:r>
        <w:rPr>
          <w:rFonts w:hint="eastAsia" w:ascii="仿宋_GB2312" w:hAnsi="仿宋_GB2312" w:eastAsia="仿宋_GB2312" w:cs="仿宋_GB2312"/>
          <w:b/>
          <w:bCs w:val="0"/>
          <w:sz w:val="32"/>
          <w:szCs w:val="32"/>
          <w:lang w:val="en-US" w:eastAsia="zh-CN"/>
        </w:rPr>
        <w:t>7</w:t>
      </w:r>
      <w:r>
        <w:rPr>
          <w:rFonts w:hint="eastAsia" w:ascii="仿宋_GB2312" w:hAnsi="仿宋_GB2312" w:eastAsia="仿宋_GB2312" w:cs="仿宋_GB2312"/>
          <w:b/>
          <w:bCs w:val="0"/>
          <w:sz w:val="32"/>
          <w:szCs w:val="32"/>
        </w:rPr>
        <w:t>.卫生健康类（类）行政事业单位医疗（款）事业单位医疗（项）：</w:t>
      </w:r>
      <w:r>
        <w:rPr>
          <w:rFonts w:hint="eastAsia" w:ascii="仿宋_GB2312" w:hAnsi="仿宋_GB2312" w:eastAsia="仿宋_GB2312" w:cs="仿宋_GB2312"/>
          <w:bCs/>
          <w:sz w:val="32"/>
          <w:szCs w:val="32"/>
        </w:rPr>
        <w:t>反映财政部门安排的事业单位基本医疗保险缴费经费，未参加医疗保险的事业单位的公费医疗经费，按国家规定享受离休人员待遇人员的医疗经费。</w:t>
      </w:r>
    </w:p>
    <w:p w14:paraId="18A3FFBC">
      <w:pPr>
        <w:spacing w:line="600" w:lineRule="exact"/>
        <w:ind w:firstLine="640"/>
        <w:rPr>
          <w:rFonts w:hint="eastAsia" w:ascii="仿宋_GB2312" w:hAnsi="仿宋_GB2312" w:eastAsia="仿宋_GB2312" w:cs="仿宋_GB2312"/>
          <w:bCs/>
          <w:sz w:val="32"/>
          <w:szCs w:val="32"/>
        </w:rPr>
      </w:pPr>
      <w:r>
        <w:rPr>
          <w:rFonts w:hint="eastAsia" w:ascii="仿宋_GB2312" w:hAnsi="仿宋_GB2312" w:eastAsia="仿宋_GB2312" w:cs="仿宋_GB2312"/>
          <w:b/>
          <w:bCs w:val="0"/>
          <w:sz w:val="32"/>
          <w:szCs w:val="32"/>
        </w:rPr>
        <w:t>1</w:t>
      </w:r>
      <w:r>
        <w:rPr>
          <w:rFonts w:hint="eastAsia" w:ascii="仿宋_GB2312" w:hAnsi="仿宋_GB2312" w:eastAsia="仿宋_GB2312" w:cs="仿宋_GB2312"/>
          <w:b/>
          <w:bCs w:val="0"/>
          <w:sz w:val="32"/>
          <w:szCs w:val="32"/>
          <w:lang w:val="en-US" w:eastAsia="zh-CN"/>
        </w:rPr>
        <w:t>8</w:t>
      </w:r>
      <w:r>
        <w:rPr>
          <w:rFonts w:hint="eastAsia" w:ascii="仿宋_GB2312" w:hAnsi="仿宋_GB2312" w:eastAsia="仿宋_GB2312" w:cs="仿宋_GB2312"/>
          <w:b/>
          <w:bCs w:val="0"/>
          <w:sz w:val="32"/>
          <w:szCs w:val="32"/>
        </w:rPr>
        <w:t>.住房保障（类）住房改革（款）住房公积金（项）：</w:t>
      </w:r>
      <w:r>
        <w:rPr>
          <w:rFonts w:hint="eastAsia" w:ascii="仿宋_GB2312" w:hAnsi="仿宋_GB2312" w:eastAsia="仿宋_GB2312" w:cs="仿宋_GB2312"/>
          <w:bCs/>
          <w:sz w:val="32"/>
          <w:szCs w:val="32"/>
        </w:rPr>
        <w:t>反映行政事业单位按人力资源和社会保障部、财政部规定的基本工资和津贴补贴以及规定比例为职工缴纳的住房公积金。</w:t>
      </w:r>
    </w:p>
    <w:p w14:paraId="7176A340">
      <w:pPr>
        <w:spacing w:line="600" w:lineRule="exact"/>
        <w:ind w:firstLine="640"/>
        <w:rPr>
          <w:rFonts w:hint="eastAsia" w:ascii="仿宋_GB2312" w:hAnsi="仿宋_GB2312" w:eastAsia="仿宋_GB2312" w:cs="仿宋_GB2312"/>
          <w:bCs/>
          <w:sz w:val="32"/>
          <w:szCs w:val="32"/>
        </w:rPr>
      </w:pPr>
    </w:p>
    <w:p w14:paraId="7918BE52">
      <w:pPr>
        <w:spacing w:line="560" w:lineRule="exact"/>
        <w:rPr>
          <w:rFonts w:ascii="宋体" w:hAnsi="宋体"/>
          <w:b/>
          <w:sz w:val="36"/>
          <w:szCs w:val="36"/>
        </w:rPr>
      </w:pPr>
    </w:p>
    <w:p w14:paraId="31935AAE">
      <w:pPr>
        <w:spacing w:line="560" w:lineRule="exact"/>
        <w:jc w:val="center"/>
        <w:rPr>
          <w:rFonts w:ascii="宋体" w:hAnsi="宋体"/>
          <w:b/>
          <w:sz w:val="36"/>
          <w:szCs w:val="36"/>
        </w:rPr>
      </w:pPr>
    </w:p>
    <w:p w14:paraId="5BD4FA19">
      <w:pPr>
        <w:pStyle w:val="2"/>
        <w:rPr>
          <w:rFonts w:ascii="宋体" w:hAnsi="宋体"/>
          <w:b/>
          <w:sz w:val="36"/>
          <w:szCs w:val="36"/>
        </w:rPr>
      </w:pPr>
    </w:p>
    <w:p w14:paraId="432D3F4B">
      <w:pPr>
        <w:rPr>
          <w:rFonts w:ascii="宋体" w:hAnsi="宋体"/>
          <w:b/>
          <w:sz w:val="36"/>
          <w:szCs w:val="36"/>
        </w:rPr>
      </w:pPr>
    </w:p>
    <w:p w14:paraId="224E7604">
      <w:pPr>
        <w:pStyle w:val="2"/>
        <w:rPr>
          <w:rFonts w:ascii="宋体" w:hAnsi="宋体"/>
          <w:b/>
          <w:sz w:val="36"/>
          <w:szCs w:val="36"/>
        </w:rPr>
      </w:pPr>
    </w:p>
    <w:p w14:paraId="2EAD92D9">
      <w:pPr>
        <w:rPr>
          <w:rFonts w:ascii="宋体" w:hAnsi="宋体"/>
          <w:b/>
          <w:sz w:val="36"/>
          <w:szCs w:val="36"/>
        </w:rPr>
      </w:pPr>
    </w:p>
    <w:p w14:paraId="59472123">
      <w:pPr>
        <w:pStyle w:val="2"/>
        <w:rPr>
          <w:rFonts w:ascii="宋体" w:hAnsi="宋体"/>
          <w:b/>
          <w:sz w:val="36"/>
          <w:szCs w:val="36"/>
        </w:rPr>
      </w:pPr>
    </w:p>
    <w:p w14:paraId="16AB43D2">
      <w:pPr>
        <w:spacing w:line="560" w:lineRule="exact"/>
        <w:jc w:val="both"/>
        <w:rPr>
          <w:rFonts w:hint="eastAsia" w:ascii="宋体" w:hAnsi="宋体"/>
          <w:b/>
          <w:sz w:val="36"/>
          <w:szCs w:val="36"/>
        </w:rPr>
        <w:sectPr>
          <w:footerReference r:id="rId3" w:type="default"/>
          <w:pgSz w:w="11906" w:h="16838"/>
          <w:pgMar w:top="1440" w:right="1797" w:bottom="1440" w:left="1797" w:header="851" w:footer="992" w:gutter="0"/>
          <w:cols w:space="0" w:num="1"/>
          <w:titlePg/>
          <w:docGrid w:type="linesAndChars" w:linePitch="312" w:charSpace="640"/>
        </w:sectPr>
      </w:pPr>
    </w:p>
    <w:p w14:paraId="222B78F6">
      <w:pPr>
        <w:tabs>
          <w:tab w:val="left" w:pos="2343"/>
        </w:tabs>
        <w:spacing w:line="560" w:lineRule="exact"/>
        <w:jc w:val="both"/>
        <w:rPr>
          <w:rFonts w:hint="eastAsia" w:ascii="宋体" w:hAnsi="宋体"/>
          <w:b/>
          <w:sz w:val="36"/>
          <w:szCs w:val="36"/>
        </w:rPr>
      </w:pPr>
    </w:p>
    <w:p w14:paraId="45B80622">
      <w:pPr>
        <w:tabs>
          <w:tab w:val="left" w:pos="2343"/>
        </w:tabs>
        <w:spacing w:line="560" w:lineRule="exact"/>
        <w:jc w:val="both"/>
        <w:rPr>
          <w:rFonts w:hint="eastAsia" w:ascii="宋体" w:hAnsi="宋体"/>
          <w:b/>
          <w:sz w:val="36"/>
          <w:szCs w:val="36"/>
        </w:rPr>
      </w:pPr>
    </w:p>
    <w:p w14:paraId="32CBA3FF">
      <w:pPr>
        <w:tabs>
          <w:tab w:val="left" w:pos="2343"/>
        </w:tabs>
        <w:spacing w:line="560" w:lineRule="exact"/>
        <w:jc w:val="both"/>
        <w:rPr>
          <w:rFonts w:hint="eastAsia" w:ascii="宋体" w:hAnsi="宋体"/>
          <w:b/>
          <w:sz w:val="36"/>
          <w:szCs w:val="36"/>
        </w:rPr>
      </w:pPr>
    </w:p>
    <w:p w14:paraId="4171BFFD">
      <w:pPr>
        <w:tabs>
          <w:tab w:val="left" w:pos="2343"/>
        </w:tabs>
        <w:spacing w:line="560" w:lineRule="exact"/>
        <w:jc w:val="both"/>
        <w:rPr>
          <w:rFonts w:hint="eastAsia" w:ascii="宋体" w:hAnsi="宋体"/>
          <w:b/>
          <w:sz w:val="36"/>
          <w:szCs w:val="36"/>
        </w:rPr>
      </w:pPr>
    </w:p>
    <w:p w14:paraId="13914048">
      <w:pPr>
        <w:tabs>
          <w:tab w:val="left" w:pos="2343"/>
        </w:tabs>
        <w:spacing w:line="560" w:lineRule="exact"/>
        <w:jc w:val="both"/>
        <w:rPr>
          <w:rFonts w:hint="eastAsia" w:ascii="宋体" w:hAnsi="宋体"/>
          <w:b/>
          <w:sz w:val="36"/>
          <w:szCs w:val="36"/>
        </w:rPr>
      </w:pPr>
    </w:p>
    <w:p w14:paraId="5BB33ECA">
      <w:pPr>
        <w:tabs>
          <w:tab w:val="left" w:pos="2343"/>
        </w:tabs>
        <w:spacing w:line="560" w:lineRule="exact"/>
        <w:jc w:val="center"/>
        <w:rPr>
          <w:rFonts w:ascii="仿宋_GB2312" w:eastAsia="仿宋_GB2312"/>
          <w:sz w:val="32"/>
          <w:szCs w:val="32"/>
        </w:rPr>
      </w:pPr>
      <w:r>
        <w:rPr>
          <w:rFonts w:hint="eastAsia" w:ascii="宋体" w:hAnsi="宋体"/>
          <w:b/>
          <w:sz w:val="36"/>
          <w:szCs w:val="36"/>
        </w:rPr>
        <w:t xml:space="preserve">第五部分 </w:t>
      </w:r>
      <w:r>
        <w:rPr>
          <w:rFonts w:hint="eastAsia" w:ascii="宋体" w:hAnsi="宋体"/>
          <w:b/>
          <w:sz w:val="36"/>
          <w:szCs w:val="36"/>
          <w:lang w:val="en-US" w:eastAsia="zh-CN"/>
        </w:rPr>
        <w:t>2025</w:t>
      </w:r>
      <w:r>
        <w:rPr>
          <w:rFonts w:hint="eastAsia" w:ascii="宋体" w:hAnsi="宋体"/>
          <w:b/>
          <w:sz w:val="36"/>
          <w:szCs w:val="36"/>
        </w:rPr>
        <w:t>年辽宁省</w:t>
      </w:r>
      <w:r>
        <w:rPr>
          <w:rFonts w:hint="eastAsia" w:ascii="宋体" w:hAnsi="宋体"/>
          <w:b/>
          <w:sz w:val="36"/>
          <w:szCs w:val="36"/>
          <w:lang w:eastAsia="zh-CN"/>
        </w:rPr>
        <w:t>盘锦市文化馆</w:t>
      </w:r>
      <w:r>
        <w:rPr>
          <w:rFonts w:hint="eastAsia" w:ascii="宋体" w:hAnsi="宋体"/>
          <w:b/>
          <w:sz w:val="36"/>
          <w:szCs w:val="36"/>
        </w:rPr>
        <w:t>预算</w:t>
      </w:r>
      <w:r>
        <w:rPr>
          <w:rFonts w:hint="eastAsia" w:ascii="宋体" w:hAnsi="宋体"/>
          <w:b/>
          <w:sz w:val="36"/>
          <w:szCs w:val="36"/>
          <w:lang w:eastAsia="zh-CN"/>
        </w:rPr>
        <w:t>公开</w:t>
      </w:r>
      <w:r>
        <w:rPr>
          <w:rFonts w:hint="eastAsia" w:ascii="宋体" w:hAnsi="宋体"/>
          <w:b/>
          <w:sz w:val="36"/>
          <w:szCs w:val="36"/>
        </w:rPr>
        <w:t>表</w:t>
      </w:r>
    </w:p>
    <w:p w14:paraId="7135E382">
      <w:pPr>
        <w:spacing w:line="560" w:lineRule="exact"/>
        <w:ind w:firstLine="646" w:firstLineChars="200"/>
        <w:jc w:val="left"/>
        <w:rPr>
          <w:rFonts w:ascii="仿宋_GB2312" w:eastAsia="仿宋_GB2312"/>
          <w:b/>
          <w:sz w:val="32"/>
          <w:szCs w:val="32"/>
        </w:rPr>
      </w:pPr>
    </w:p>
    <w:sectPr>
      <w:pgSz w:w="16838" w:h="11906" w:orient="landscape"/>
      <w:pgMar w:top="1797" w:right="1440" w:bottom="1797" w:left="1440" w:header="851" w:footer="992" w:gutter="0"/>
      <w:cols w:space="0" w:num="1"/>
      <w:titlePg/>
      <w:rtlGutter w:val="0"/>
      <w:docGrid w:type="linesAndChars" w:linePitch="319" w:charSpace="64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swiss"/>
    <w:pitch w:val="default"/>
    <w:sig w:usb0="A1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258E8B">
    <w:pPr>
      <w:pStyle w:val="4"/>
      <w:framePr w:wrap="around" w:vAnchor="text" w:hAnchor="margin" w:xAlign="center" w:y="1"/>
      <w:rPr>
        <w:rStyle w:val="8"/>
      </w:rPr>
    </w:pPr>
    <w:r>
      <w:rPr>
        <w:rStyle w:val="8"/>
      </w:rPr>
      <w:fldChar w:fldCharType="begin"/>
    </w:r>
    <w:r>
      <w:rPr>
        <w:rStyle w:val="8"/>
      </w:rPr>
      <w:instrText xml:space="preserve">PAGE  </w:instrText>
    </w:r>
    <w:r>
      <w:rPr>
        <w:rStyle w:val="8"/>
      </w:rPr>
      <w:fldChar w:fldCharType="separate"/>
    </w:r>
    <w:r>
      <w:rPr>
        <w:rStyle w:val="8"/>
      </w:rPr>
      <w:t>7</w:t>
    </w:r>
    <w:r>
      <w:rPr>
        <w:rStyle w:val="8"/>
      </w:rPr>
      <w:fldChar w:fldCharType="end"/>
    </w:r>
  </w:p>
  <w:p w14:paraId="221A9E86">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7328DA"/>
    <w:multiLevelType w:val="singleLevel"/>
    <w:tmpl w:val="B47328DA"/>
    <w:lvl w:ilvl="0" w:tentative="0">
      <w:start w:val="6"/>
      <w:numFmt w:val="chineseCounting"/>
      <w:suff w:val="space"/>
      <w:lvlText w:val="第%1章"/>
      <w:lvlJc w:val="left"/>
      <w:rPr>
        <w:rFonts w:hint="eastAsia"/>
      </w:rPr>
    </w:lvl>
  </w:abstractNum>
  <w:abstractNum w:abstractNumId="1">
    <w:nsid w:val="601769EA"/>
    <w:multiLevelType w:val="singleLevel"/>
    <w:tmpl w:val="601769EA"/>
    <w:lvl w:ilvl="0" w:tentative="0">
      <w:start w:val="8"/>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7"/>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4B21"/>
    <w:rsid w:val="000048A5"/>
    <w:rsid w:val="00007E46"/>
    <w:rsid w:val="000133BF"/>
    <w:rsid w:val="00022421"/>
    <w:rsid w:val="00024EC7"/>
    <w:rsid w:val="0002546B"/>
    <w:rsid w:val="0003153C"/>
    <w:rsid w:val="00032156"/>
    <w:rsid w:val="00042F4C"/>
    <w:rsid w:val="0004398C"/>
    <w:rsid w:val="0004572D"/>
    <w:rsid w:val="00051065"/>
    <w:rsid w:val="00054F25"/>
    <w:rsid w:val="00065C08"/>
    <w:rsid w:val="00073E3F"/>
    <w:rsid w:val="000906C5"/>
    <w:rsid w:val="000A47B7"/>
    <w:rsid w:val="000B3BE6"/>
    <w:rsid w:val="000B642D"/>
    <w:rsid w:val="000C25F9"/>
    <w:rsid w:val="000E1D7E"/>
    <w:rsid w:val="000E1DEF"/>
    <w:rsid w:val="000F3D4B"/>
    <w:rsid w:val="000F4A22"/>
    <w:rsid w:val="0010770D"/>
    <w:rsid w:val="001100B7"/>
    <w:rsid w:val="0012365F"/>
    <w:rsid w:val="001332DE"/>
    <w:rsid w:val="0013380C"/>
    <w:rsid w:val="00134FAF"/>
    <w:rsid w:val="001364E5"/>
    <w:rsid w:val="0013683A"/>
    <w:rsid w:val="001441A4"/>
    <w:rsid w:val="00156A4A"/>
    <w:rsid w:val="0016412F"/>
    <w:rsid w:val="001656BE"/>
    <w:rsid w:val="00175D02"/>
    <w:rsid w:val="00181D39"/>
    <w:rsid w:val="001846A6"/>
    <w:rsid w:val="001A415E"/>
    <w:rsid w:val="001A4640"/>
    <w:rsid w:val="001B77A9"/>
    <w:rsid w:val="001C1FBF"/>
    <w:rsid w:val="001C4D67"/>
    <w:rsid w:val="001D0424"/>
    <w:rsid w:val="001E32B1"/>
    <w:rsid w:val="001E3B59"/>
    <w:rsid w:val="001E3BB8"/>
    <w:rsid w:val="001F4B21"/>
    <w:rsid w:val="001F4DC4"/>
    <w:rsid w:val="001F5515"/>
    <w:rsid w:val="002003A2"/>
    <w:rsid w:val="00201094"/>
    <w:rsid w:val="00201459"/>
    <w:rsid w:val="002020FA"/>
    <w:rsid w:val="00203F23"/>
    <w:rsid w:val="002052C1"/>
    <w:rsid w:val="00207EF8"/>
    <w:rsid w:val="00210A14"/>
    <w:rsid w:val="002114F4"/>
    <w:rsid w:val="002137BF"/>
    <w:rsid w:val="0022096B"/>
    <w:rsid w:val="0022238E"/>
    <w:rsid w:val="00222BC7"/>
    <w:rsid w:val="00223284"/>
    <w:rsid w:val="0022540A"/>
    <w:rsid w:val="00227F7C"/>
    <w:rsid w:val="002335DF"/>
    <w:rsid w:val="00245461"/>
    <w:rsid w:val="00246231"/>
    <w:rsid w:val="00246CE3"/>
    <w:rsid w:val="00247688"/>
    <w:rsid w:val="0026131E"/>
    <w:rsid w:val="002625EE"/>
    <w:rsid w:val="00264E0A"/>
    <w:rsid w:val="002859E0"/>
    <w:rsid w:val="0029002D"/>
    <w:rsid w:val="00296E48"/>
    <w:rsid w:val="002A22FD"/>
    <w:rsid w:val="002A2DF7"/>
    <w:rsid w:val="002B4307"/>
    <w:rsid w:val="002C1A77"/>
    <w:rsid w:val="002C210E"/>
    <w:rsid w:val="002E3F3E"/>
    <w:rsid w:val="002F7837"/>
    <w:rsid w:val="00303749"/>
    <w:rsid w:val="003110BE"/>
    <w:rsid w:val="00313B70"/>
    <w:rsid w:val="00314ECD"/>
    <w:rsid w:val="00321418"/>
    <w:rsid w:val="00331390"/>
    <w:rsid w:val="00340F06"/>
    <w:rsid w:val="00344F39"/>
    <w:rsid w:val="00352555"/>
    <w:rsid w:val="00353C5E"/>
    <w:rsid w:val="003630B0"/>
    <w:rsid w:val="0036408C"/>
    <w:rsid w:val="00365D58"/>
    <w:rsid w:val="003664F3"/>
    <w:rsid w:val="00367798"/>
    <w:rsid w:val="003858E5"/>
    <w:rsid w:val="00391EA2"/>
    <w:rsid w:val="00393F53"/>
    <w:rsid w:val="003A0063"/>
    <w:rsid w:val="003A04EC"/>
    <w:rsid w:val="003A06BD"/>
    <w:rsid w:val="003A4F29"/>
    <w:rsid w:val="003C444A"/>
    <w:rsid w:val="003E0DAF"/>
    <w:rsid w:val="003E4A52"/>
    <w:rsid w:val="003E694A"/>
    <w:rsid w:val="003F3466"/>
    <w:rsid w:val="003F4695"/>
    <w:rsid w:val="003F6E5B"/>
    <w:rsid w:val="004037DF"/>
    <w:rsid w:val="00414072"/>
    <w:rsid w:val="004152DB"/>
    <w:rsid w:val="0042230F"/>
    <w:rsid w:val="004265C6"/>
    <w:rsid w:val="00426B4B"/>
    <w:rsid w:val="00437E10"/>
    <w:rsid w:val="0044636A"/>
    <w:rsid w:val="00476F8F"/>
    <w:rsid w:val="00486679"/>
    <w:rsid w:val="00493F18"/>
    <w:rsid w:val="004943FF"/>
    <w:rsid w:val="00495584"/>
    <w:rsid w:val="004A4FDC"/>
    <w:rsid w:val="004A72AF"/>
    <w:rsid w:val="004B143F"/>
    <w:rsid w:val="004C0904"/>
    <w:rsid w:val="004C4DE5"/>
    <w:rsid w:val="004D2F79"/>
    <w:rsid w:val="004D584E"/>
    <w:rsid w:val="004D7A05"/>
    <w:rsid w:val="004E0C11"/>
    <w:rsid w:val="004E78BE"/>
    <w:rsid w:val="004F0520"/>
    <w:rsid w:val="004F4D7E"/>
    <w:rsid w:val="004F5303"/>
    <w:rsid w:val="00510447"/>
    <w:rsid w:val="005127EF"/>
    <w:rsid w:val="00515B98"/>
    <w:rsid w:val="005222F9"/>
    <w:rsid w:val="00532926"/>
    <w:rsid w:val="005402C5"/>
    <w:rsid w:val="005460BF"/>
    <w:rsid w:val="0054694B"/>
    <w:rsid w:val="00550F83"/>
    <w:rsid w:val="0055106B"/>
    <w:rsid w:val="00552654"/>
    <w:rsid w:val="005555E7"/>
    <w:rsid w:val="00555F4E"/>
    <w:rsid w:val="0057459C"/>
    <w:rsid w:val="00577A55"/>
    <w:rsid w:val="005808B9"/>
    <w:rsid w:val="00583D3E"/>
    <w:rsid w:val="00584A71"/>
    <w:rsid w:val="00585962"/>
    <w:rsid w:val="00592B0A"/>
    <w:rsid w:val="00595870"/>
    <w:rsid w:val="005A0EF3"/>
    <w:rsid w:val="005A5C5F"/>
    <w:rsid w:val="005B0557"/>
    <w:rsid w:val="005C4ABB"/>
    <w:rsid w:val="005C4E9E"/>
    <w:rsid w:val="005C54B4"/>
    <w:rsid w:val="005C6815"/>
    <w:rsid w:val="005F11E5"/>
    <w:rsid w:val="00600E56"/>
    <w:rsid w:val="0060382D"/>
    <w:rsid w:val="006040F6"/>
    <w:rsid w:val="00605615"/>
    <w:rsid w:val="006057DC"/>
    <w:rsid w:val="00605F98"/>
    <w:rsid w:val="006064EB"/>
    <w:rsid w:val="00607DB4"/>
    <w:rsid w:val="00612625"/>
    <w:rsid w:val="00616C8C"/>
    <w:rsid w:val="00616F4E"/>
    <w:rsid w:val="006243E7"/>
    <w:rsid w:val="00625388"/>
    <w:rsid w:val="0062602A"/>
    <w:rsid w:val="00627D2A"/>
    <w:rsid w:val="006307F2"/>
    <w:rsid w:val="00633168"/>
    <w:rsid w:val="00636659"/>
    <w:rsid w:val="0064235B"/>
    <w:rsid w:val="00642B16"/>
    <w:rsid w:val="0064390F"/>
    <w:rsid w:val="00644B0C"/>
    <w:rsid w:val="00645EDB"/>
    <w:rsid w:val="00646255"/>
    <w:rsid w:val="006470E5"/>
    <w:rsid w:val="006667C4"/>
    <w:rsid w:val="0067371A"/>
    <w:rsid w:val="0068053A"/>
    <w:rsid w:val="006863E1"/>
    <w:rsid w:val="006870E5"/>
    <w:rsid w:val="00687611"/>
    <w:rsid w:val="00692DF0"/>
    <w:rsid w:val="00696EED"/>
    <w:rsid w:val="006A1F21"/>
    <w:rsid w:val="006A6E55"/>
    <w:rsid w:val="006A798C"/>
    <w:rsid w:val="006B2685"/>
    <w:rsid w:val="006C071F"/>
    <w:rsid w:val="006C1E92"/>
    <w:rsid w:val="006C2F3F"/>
    <w:rsid w:val="006C3B05"/>
    <w:rsid w:val="006C3EC1"/>
    <w:rsid w:val="006C6599"/>
    <w:rsid w:val="006D5585"/>
    <w:rsid w:val="006D75C4"/>
    <w:rsid w:val="006E1AF1"/>
    <w:rsid w:val="006E28B5"/>
    <w:rsid w:val="006E43B1"/>
    <w:rsid w:val="006F2679"/>
    <w:rsid w:val="0070065A"/>
    <w:rsid w:val="007119CC"/>
    <w:rsid w:val="00721FD3"/>
    <w:rsid w:val="0072268A"/>
    <w:rsid w:val="007232B8"/>
    <w:rsid w:val="00724191"/>
    <w:rsid w:val="00730D65"/>
    <w:rsid w:val="00731AA4"/>
    <w:rsid w:val="00732C10"/>
    <w:rsid w:val="00734A9C"/>
    <w:rsid w:val="007354FB"/>
    <w:rsid w:val="007406C0"/>
    <w:rsid w:val="00741F03"/>
    <w:rsid w:val="007456A4"/>
    <w:rsid w:val="00773350"/>
    <w:rsid w:val="00773BD8"/>
    <w:rsid w:val="007A75ED"/>
    <w:rsid w:val="007B3491"/>
    <w:rsid w:val="007C3D56"/>
    <w:rsid w:val="007D2208"/>
    <w:rsid w:val="007D3678"/>
    <w:rsid w:val="007D5C00"/>
    <w:rsid w:val="007D5C20"/>
    <w:rsid w:val="007E10AF"/>
    <w:rsid w:val="007E2348"/>
    <w:rsid w:val="007F2FF7"/>
    <w:rsid w:val="007F3E2E"/>
    <w:rsid w:val="007F4788"/>
    <w:rsid w:val="007F6A7A"/>
    <w:rsid w:val="00804577"/>
    <w:rsid w:val="00814382"/>
    <w:rsid w:val="00816E1B"/>
    <w:rsid w:val="008177C7"/>
    <w:rsid w:val="008211C9"/>
    <w:rsid w:val="008234DA"/>
    <w:rsid w:val="00825D6B"/>
    <w:rsid w:val="00827E6A"/>
    <w:rsid w:val="008301EF"/>
    <w:rsid w:val="00832E30"/>
    <w:rsid w:val="008369B0"/>
    <w:rsid w:val="00837D30"/>
    <w:rsid w:val="00847466"/>
    <w:rsid w:val="008604B0"/>
    <w:rsid w:val="008740C1"/>
    <w:rsid w:val="0087547D"/>
    <w:rsid w:val="00876D1D"/>
    <w:rsid w:val="00895609"/>
    <w:rsid w:val="008A6F4E"/>
    <w:rsid w:val="008B2071"/>
    <w:rsid w:val="008B2083"/>
    <w:rsid w:val="008B2BFB"/>
    <w:rsid w:val="008B567B"/>
    <w:rsid w:val="008D67C1"/>
    <w:rsid w:val="008D6BAE"/>
    <w:rsid w:val="008E14F7"/>
    <w:rsid w:val="008F085F"/>
    <w:rsid w:val="008F4786"/>
    <w:rsid w:val="009122B2"/>
    <w:rsid w:val="00912532"/>
    <w:rsid w:val="0091437F"/>
    <w:rsid w:val="00917BF2"/>
    <w:rsid w:val="00926C07"/>
    <w:rsid w:val="00932D2C"/>
    <w:rsid w:val="00941A4D"/>
    <w:rsid w:val="0095395F"/>
    <w:rsid w:val="00954AA1"/>
    <w:rsid w:val="00970433"/>
    <w:rsid w:val="00992766"/>
    <w:rsid w:val="0099456C"/>
    <w:rsid w:val="009A2955"/>
    <w:rsid w:val="009A4153"/>
    <w:rsid w:val="009B50A6"/>
    <w:rsid w:val="009C0E1F"/>
    <w:rsid w:val="009C78B8"/>
    <w:rsid w:val="009D4D50"/>
    <w:rsid w:val="009E3607"/>
    <w:rsid w:val="009E4011"/>
    <w:rsid w:val="009E6934"/>
    <w:rsid w:val="009F0437"/>
    <w:rsid w:val="009F4519"/>
    <w:rsid w:val="009F666E"/>
    <w:rsid w:val="00A050CA"/>
    <w:rsid w:val="00A05CA5"/>
    <w:rsid w:val="00A1076A"/>
    <w:rsid w:val="00A16982"/>
    <w:rsid w:val="00A31903"/>
    <w:rsid w:val="00A45684"/>
    <w:rsid w:val="00A462FD"/>
    <w:rsid w:val="00A6246E"/>
    <w:rsid w:val="00A64808"/>
    <w:rsid w:val="00A71852"/>
    <w:rsid w:val="00A80480"/>
    <w:rsid w:val="00A80FD5"/>
    <w:rsid w:val="00A860C3"/>
    <w:rsid w:val="00A877C7"/>
    <w:rsid w:val="00A91A3A"/>
    <w:rsid w:val="00A93DBE"/>
    <w:rsid w:val="00A966FF"/>
    <w:rsid w:val="00AA1922"/>
    <w:rsid w:val="00AC34D0"/>
    <w:rsid w:val="00AC480B"/>
    <w:rsid w:val="00AD2E2D"/>
    <w:rsid w:val="00AE7A0D"/>
    <w:rsid w:val="00B03ED6"/>
    <w:rsid w:val="00B0465C"/>
    <w:rsid w:val="00B1023F"/>
    <w:rsid w:val="00B17365"/>
    <w:rsid w:val="00B3097E"/>
    <w:rsid w:val="00B3322E"/>
    <w:rsid w:val="00B34341"/>
    <w:rsid w:val="00B43C68"/>
    <w:rsid w:val="00B45B68"/>
    <w:rsid w:val="00B530B3"/>
    <w:rsid w:val="00B54F33"/>
    <w:rsid w:val="00B64505"/>
    <w:rsid w:val="00B64E59"/>
    <w:rsid w:val="00B718FD"/>
    <w:rsid w:val="00B72DC4"/>
    <w:rsid w:val="00B85E08"/>
    <w:rsid w:val="00B862F1"/>
    <w:rsid w:val="00B876F3"/>
    <w:rsid w:val="00B954BC"/>
    <w:rsid w:val="00BA1A55"/>
    <w:rsid w:val="00BA4728"/>
    <w:rsid w:val="00BB03CD"/>
    <w:rsid w:val="00BB1BBB"/>
    <w:rsid w:val="00BB3262"/>
    <w:rsid w:val="00BB593E"/>
    <w:rsid w:val="00BB74D8"/>
    <w:rsid w:val="00BC197F"/>
    <w:rsid w:val="00BC32E3"/>
    <w:rsid w:val="00BD4E6F"/>
    <w:rsid w:val="00BD543E"/>
    <w:rsid w:val="00BE0968"/>
    <w:rsid w:val="00BE3584"/>
    <w:rsid w:val="00BE7B78"/>
    <w:rsid w:val="00C00427"/>
    <w:rsid w:val="00C063ED"/>
    <w:rsid w:val="00C116AA"/>
    <w:rsid w:val="00C13E8F"/>
    <w:rsid w:val="00C14110"/>
    <w:rsid w:val="00C164CA"/>
    <w:rsid w:val="00C205B2"/>
    <w:rsid w:val="00C30E2E"/>
    <w:rsid w:val="00C45BFE"/>
    <w:rsid w:val="00C5023B"/>
    <w:rsid w:val="00C57542"/>
    <w:rsid w:val="00C5780C"/>
    <w:rsid w:val="00C61CCD"/>
    <w:rsid w:val="00C656DC"/>
    <w:rsid w:val="00C71D5C"/>
    <w:rsid w:val="00C9239A"/>
    <w:rsid w:val="00C938AA"/>
    <w:rsid w:val="00CA3545"/>
    <w:rsid w:val="00CA36DD"/>
    <w:rsid w:val="00CB433D"/>
    <w:rsid w:val="00CC2F87"/>
    <w:rsid w:val="00CD34D3"/>
    <w:rsid w:val="00CE11E3"/>
    <w:rsid w:val="00CE1377"/>
    <w:rsid w:val="00CE245C"/>
    <w:rsid w:val="00CE2746"/>
    <w:rsid w:val="00CE63ED"/>
    <w:rsid w:val="00CF4A89"/>
    <w:rsid w:val="00D12C10"/>
    <w:rsid w:val="00D22F31"/>
    <w:rsid w:val="00D238BC"/>
    <w:rsid w:val="00D269C4"/>
    <w:rsid w:val="00D316A1"/>
    <w:rsid w:val="00D32B4A"/>
    <w:rsid w:val="00D3350D"/>
    <w:rsid w:val="00D33629"/>
    <w:rsid w:val="00D33984"/>
    <w:rsid w:val="00D33CB1"/>
    <w:rsid w:val="00D3769E"/>
    <w:rsid w:val="00D433E9"/>
    <w:rsid w:val="00D47A1E"/>
    <w:rsid w:val="00D71AF2"/>
    <w:rsid w:val="00D758CC"/>
    <w:rsid w:val="00D75E88"/>
    <w:rsid w:val="00D80E84"/>
    <w:rsid w:val="00D8148A"/>
    <w:rsid w:val="00D82BFF"/>
    <w:rsid w:val="00D951D8"/>
    <w:rsid w:val="00DA7B73"/>
    <w:rsid w:val="00DB2147"/>
    <w:rsid w:val="00DB48EE"/>
    <w:rsid w:val="00DB6425"/>
    <w:rsid w:val="00DC387B"/>
    <w:rsid w:val="00DC5D43"/>
    <w:rsid w:val="00DE1F2B"/>
    <w:rsid w:val="00DE23A0"/>
    <w:rsid w:val="00DE32D8"/>
    <w:rsid w:val="00DF1754"/>
    <w:rsid w:val="00E1628B"/>
    <w:rsid w:val="00E174DA"/>
    <w:rsid w:val="00E26BED"/>
    <w:rsid w:val="00E27A17"/>
    <w:rsid w:val="00E31F50"/>
    <w:rsid w:val="00E53488"/>
    <w:rsid w:val="00E54C91"/>
    <w:rsid w:val="00E563EB"/>
    <w:rsid w:val="00E578B5"/>
    <w:rsid w:val="00E57A06"/>
    <w:rsid w:val="00E6205C"/>
    <w:rsid w:val="00E63978"/>
    <w:rsid w:val="00E63A6D"/>
    <w:rsid w:val="00E652F3"/>
    <w:rsid w:val="00E72396"/>
    <w:rsid w:val="00E72423"/>
    <w:rsid w:val="00E76A34"/>
    <w:rsid w:val="00E76E63"/>
    <w:rsid w:val="00EC15B9"/>
    <w:rsid w:val="00EC55F1"/>
    <w:rsid w:val="00ED10C9"/>
    <w:rsid w:val="00ED2999"/>
    <w:rsid w:val="00ED33DC"/>
    <w:rsid w:val="00ED4939"/>
    <w:rsid w:val="00EE19E6"/>
    <w:rsid w:val="00EE4854"/>
    <w:rsid w:val="00F01DD7"/>
    <w:rsid w:val="00F22489"/>
    <w:rsid w:val="00F234F5"/>
    <w:rsid w:val="00F305AA"/>
    <w:rsid w:val="00F6732E"/>
    <w:rsid w:val="00F77CD4"/>
    <w:rsid w:val="00F81ABA"/>
    <w:rsid w:val="00F85E64"/>
    <w:rsid w:val="00F90DDE"/>
    <w:rsid w:val="00F953F8"/>
    <w:rsid w:val="00F969C4"/>
    <w:rsid w:val="00FA7402"/>
    <w:rsid w:val="00FA79EA"/>
    <w:rsid w:val="00FA7C82"/>
    <w:rsid w:val="00FB14EE"/>
    <w:rsid w:val="00FB4B59"/>
    <w:rsid w:val="00FB6E35"/>
    <w:rsid w:val="00FC2939"/>
    <w:rsid w:val="00FD3CCD"/>
    <w:rsid w:val="00FE3108"/>
    <w:rsid w:val="00FE3361"/>
    <w:rsid w:val="00FE6175"/>
    <w:rsid w:val="00FE7DD8"/>
    <w:rsid w:val="00FF08FA"/>
    <w:rsid w:val="00FF712A"/>
    <w:rsid w:val="01473B55"/>
    <w:rsid w:val="017D3C08"/>
    <w:rsid w:val="01A746F3"/>
    <w:rsid w:val="02C51D20"/>
    <w:rsid w:val="03930692"/>
    <w:rsid w:val="03D4408D"/>
    <w:rsid w:val="04C92FF4"/>
    <w:rsid w:val="05590D97"/>
    <w:rsid w:val="069B1278"/>
    <w:rsid w:val="06B84EC6"/>
    <w:rsid w:val="06F26EF4"/>
    <w:rsid w:val="07000E37"/>
    <w:rsid w:val="07286F70"/>
    <w:rsid w:val="076641DD"/>
    <w:rsid w:val="077A6D35"/>
    <w:rsid w:val="078D0595"/>
    <w:rsid w:val="07FB97D1"/>
    <w:rsid w:val="080D4122"/>
    <w:rsid w:val="085B1DF0"/>
    <w:rsid w:val="08D65034"/>
    <w:rsid w:val="09236A9D"/>
    <w:rsid w:val="09B35DC1"/>
    <w:rsid w:val="0A7E50A7"/>
    <w:rsid w:val="0AD42FF7"/>
    <w:rsid w:val="0B053EC8"/>
    <w:rsid w:val="0B642054"/>
    <w:rsid w:val="0BB208C5"/>
    <w:rsid w:val="0C423125"/>
    <w:rsid w:val="0D2427C1"/>
    <w:rsid w:val="0E5D2B9E"/>
    <w:rsid w:val="0E6D4386"/>
    <w:rsid w:val="0F2A085F"/>
    <w:rsid w:val="0F7349CC"/>
    <w:rsid w:val="106E56DE"/>
    <w:rsid w:val="11B20219"/>
    <w:rsid w:val="126B66EF"/>
    <w:rsid w:val="127267ED"/>
    <w:rsid w:val="130D280B"/>
    <w:rsid w:val="132428BF"/>
    <w:rsid w:val="17676F00"/>
    <w:rsid w:val="17B616E5"/>
    <w:rsid w:val="17F07D94"/>
    <w:rsid w:val="1877372F"/>
    <w:rsid w:val="189B1ADC"/>
    <w:rsid w:val="18C33AC7"/>
    <w:rsid w:val="18DF049C"/>
    <w:rsid w:val="18EC27B3"/>
    <w:rsid w:val="19027D91"/>
    <w:rsid w:val="19455480"/>
    <w:rsid w:val="1A0F73A5"/>
    <w:rsid w:val="1AFF79D0"/>
    <w:rsid w:val="1B2059B8"/>
    <w:rsid w:val="1B4E181C"/>
    <w:rsid w:val="1B6601DF"/>
    <w:rsid w:val="1B8F6A9A"/>
    <w:rsid w:val="1BAB328C"/>
    <w:rsid w:val="1BCE367C"/>
    <w:rsid w:val="1BDE2B69"/>
    <w:rsid w:val="1BF84BC7"/>
    <w:rsid w:val="1C4A0633"/>
    <w:rsid w:val="1C8C45A6"/>
    <w:rsid w:val="1CCC273E"/>
    <w:rsid w:val="1D462851"/>
    <w:rsid w:val="1D667501"/>
    <w:rsid w:val="1DF602FB"/>
    <w:rsid w:val="1E0F132C"/>
    <w:rsid w:val="1F212A66"/>
    <w:rsid w:val="1F315D3A"/>
    <w:rsid w:val="1FFF5969"/>
    <w:rsid w:val="200D6146"/>
    <w:rsid w:val="215A4D90"/>
    <w:rsid w:val="225F55CE"/>
    <w:rsid w:val="23E13ABE"/>
    <w:rsid w:val="24C00027"/>
    <w:rsid w:val="24D3660E"/>
    <w:rsid w:val="24DB746F"/>
    <w:rsid w:val="260E190B"/>
    <w:rsid w:val="266A177F"/>
    <w:rsid w:val="270615B9"/>
    <w:rsid w:val="270B1A4A"/>
    <w:rsid w:val="27727FFE"/>
    <w:rsid w:val="27773A27"/>
    <w:rsid w:val="298C6232"/>
    <w:rsid w:val="29990502"/>
    <w:rsid w:val="29E6061F"/>
    <w:rsid w:val="2A3E5AEE"/>
    <w:rsid w:val="2B7DC5E7"/>
    <w:rsid w:val="2BF47C3E"/>
    <w:rsid w:val="2D2449BD"/>
    <w:rsid w:val="2EB3162C"/>
    <w:rsid w:val="2EE465A5"/>
    <w:rsid w:val="2F142285"/>
    <w:rsid w:val="2F3DE142"/>
    <w:rsid w:val="2FAC4B1B"/>
    <w:rsid w:val="313E7D46"/>
    <w:rsid w:val="316C7C8A"/>
    <w:rsid w:val="31EE3102"/>
    <w:rsid w:val="31FB3A39"/>
    <w:rsid w:val="34190834"/>
    <w:rsid w:val="3505415D"/>
    <w:rsid w:val="35BE487C"/>
    <w:rsid w:val="365A03F2"/>
    <w:rsid w:val="36F6584D"/>
    <w:rsid w:val="3757F7CA"/>
    <w:rsid w:val="385D4246"/>
    <w:rsid w:val="38BB2933"/>
    <w:rsid w:val="396661E0"/>
    <w:rsid w:val="39D46840"/>
    <w:rsid w:val="39FC9D6E"/>
    <w:rsid w:val="3ADF145F"/>
    <w:rsid w:val="3AE4639A"/>
    <w:rsid w:val="3B697A90"/>
    <w:rsid w:val="3C1C2BDE"/>
    <w:rsid w:val="3CA073AF"/>
    <w:rsid w:val="3CE3375A"/>
    <w:rsid w:val="3DBF7571"/>
    <w:rsid w:val="3DC668D9"/>
    <w:rsid w:val="3EB7A014"/>
    <w:rsid w:val="3EC14D35"/>
    <w:rsid w:val="3F732F2F"/>
    <w:rsid w:val="3FBF7077"/>
    <w:rsid w:val="3FBFDA26"/>
    <w:rsid w:val="3FF3C106"/>
    <w:rsid w:val="3FFF4FC7"/>
    <w:rsid w:val="40353DED"/>
    <w:rsid w:val="40D02D3C"/>
    <w:rsid w:val="41852724"/>
    <w:rsid w:val="419C619B"/>
    <w:rsid w:val="42296E75"/>
    <w:rsid w:val="43243DE7"/>
    <w:rsid w:val="43F97ACA"/>
    <w:rsid w:val="4602561E"/>
    <w:rsid w:val="46460D56"/>
    <w:rsid w:val="46E13712"/>
    <w:rsid w:val="470E1B72"/>
    <w:rsid w:val="4792414F"/>
    <w:rsid w:val="479A5FB8"/>
    <w:rsid w:val="47B807F3"/>
    <w:rsid w:val="47E81BB1"/>
    <w:rsid w:val="47FC6910"/>
    <w:rsid w:val="49AD0D7B"/>
    <w:rsid w:val="4A623313"/>
    <w:rsid w:val="4A726690"/>
    <w:rsid w:val="4B1B6C71"/>
    <w:rsid w:val="4C281EF3"/>
    <w:rsid w:val="4CDD4B47"/>
    <w:rsid w:val="4CE12E15"/>
    <w:rsid w:val="4D312DA7"/>
    <w:rsid w:val="4D69924D"/>
    <w:rsid w:val="4F055FF2"/>
    <w:rsid w:val="4F77935B"/>
    <w:rsid w:val="4FC53A84"/>
    <w:rsid w:val="50CD3132"/>
    <w:rsid w:val="51993F9E"/>
    <w:rsid w:val="52184D14"/>
    <w:rsid w:val="525D300E"/>
    <w:rsid w:val="53681604"/>
    <w:rsid w:val="536979A6"/>
    <w:rsid w:val="55DFA0A0"/>
    <w:rsid w:val="561435A7"/>
    <w:rsid w:val="569F3D76"/>
    <w:rsid w:val="576818B0"/>
    <w:rsid w:val="57ED2858"/>
    <w:rsid w:val="57FA6D49"/>
    <w:rsid w:val="59143D47"/>
    <w:rsid w:val="59A71EE5"/>
    <w:rsid w:val="59CE51A9"/>
    <w:rsid w:val="59FF1B90"/>
    <w:rsid w:val="5A474332"/>
    <w:rsid w:val="5AD05F1E"/>
    <w:rsid w:val="5B152E64"/>
    <w:rsid w:val="5B7340B8"/>
    <w:rsid w:val="5BDFAB0E"/>
    <w:rsid w:val="5C32682B"/>
    <w:rsid w:val="5CDEEC0A"/>
    <w:rsid w:val="5D5F6243"/>
    <w:rsid w:val="5D7C6005"/>
    <w:rsid w:val="5DC77D97"/>
    <w:rsid w:val="5DD22168"/>
    <w:rsid w:val="5FE2B437"/>
    <w:rsid w:val="5FEF5520"/>
    <w:rsid w:val="5FF71960"/>
    <w:rsid w:val="60147D4F"/>
    <w:rsid w:val="60B34342"/>
    <w:rsid w:val="616B3E01"/>
    <w:rsid w:val="61DE4A37"/>
    <w:rsid w:val="62066B73"/>
    <w:rsid w:val="628C5B80"/>
    <w:rsid w:val="638C42D9"/>
    <w:rsid w:val="63D97827"/>
    <w:rsid w:val="64B45E83"/>
    <w:rsid w:val="651152FC"/>
    <w:rsid w:val="65324317"/>
    <w:rsid w:val="65593F66"/>
    <w:rsid w:val="65FEE4FC"/>
    <w:rsid w:val="66C33CE7"/>
    <w:rsid w:val="66F40245"/>
    <w:rsid w:val="69221657"/>
    <w:rsid w:val="6A6715B2"/>
    <w:rsid w:val="6A726147"/>
    <w:rsid w:val="6B300A25"/>
    <w:rsid w:val="6B535F74"/>
    <w:rsid w:val="6B7A4DE0"/>
    <w:rsid w:val="6BDDE3A2"/>
    <w:rsid w:val="6C163263"/>
    <w:rsid w:val="6C264620"/>
    <w:rsid w:val="6CFECA5E"/>
    <w:rsid w:val="6D7E1522"/>
    <w:rsid w:val="6D95125A"/>
    <w:rsid w:val="6ED06DC1"/>
    <w:rsid w:val="6EFB2B5A"/>
    <w:rsid w:val="6EFD1050"/>
    <w:rsid w:val="6F3C07B7"/>
    <w:rsid w:val="6F474F0B"/>
    <w:rsid w:val="6F565074"/>
    <w:rsid w:val="6F6F6081"/>
    <w:rsid w:val="6F7F96C5"/>
    <w:rsid w:val="6FD5E3EE"/>
    <w:rsid w:val="6FFFA188"/>
    <w:rsid w:val="701934AE"/>
    <w:rsid w:val="714B2ECB"/>
    <w:rsid w:val="71D7CD63"/>
    <w:rsid w:val="72385629"/>
    <w:rsid w:val="731F0A75"/>
    <w:rsid w:val="73351169"/>
    <w:rsid w:val="741831B5"/>
    <w:rsid w:val="75C80649"/>
    <w:rsid w:val="762F7860"/>
    <w:rsid w:val="76D6577B"/>
    <w:rsid w:val="77CB17F7"/>
    <w:rsid w:val="77EF22B1"/>
    <w:rsid w:val="79BF61C2"/>
    <w:rsid w:val="79FC7325"/>
    <w:rsid w:val="7A6B5CE7"/>
    <w:rsid w:val="7AE7FB34"/>
    <w:rsid w:val="7AFF2F06"/>
    <w:rsid w:val="7B767570"/>
    <w:rsid w:val="7B778066"/>
    <w:rsid w:val="7BAF23D3"/>
    <w:rsid w:val="7BDA3581"/>
    <w:rsid w:val="7C7C68B8"/>
    <w:rsid w:val="7CADD60F"/>
    <w:rsid w:val="7CEB9D80"/>
    <w:rsid w:val="7D521B6D"/>
    <w:rsid w:val="7D572E14"/>
    <w:rsid w:val="7D8F0965"/>
    <w:rsid w:val="7DD87B8D"/>
    <w:rsid w:val="7DEFEC06"/>
    <w:rsid w:val="7DF5611B"/>
    <w:rsid w:val="7EF53BC8"/>
    <w:rsid w:val="7EFB987F"/>
    <w:rsid w:val="7F105FF7"/>
    <w:rsid w:val="7F1D43BF"/>
    <w:rsid w:val="7F7B3E5D"/>
    <w:rsid w:val="7F7F2E39"/>
    <w:rsid w:val="7F7F4C15"/>
    <w:rsid w:val="7F8E71CE"/>
    <w:rsid w:val="7FB31639"/>
    <w:rsid w:val="7FB72670"/>
    <w:rsid w:val="7FD76BDF"/>
    <w:rsid w:val="7FDF009B"/>
    <w:rsid w:val="7FFB0A25"/>
    <w:rsid w:val="8F5F2450"/>
    <w:rsid w:val="9B2AD334"/>
    <w:rsid w:val="A7FEB36C"/>
    <w:rsid w:val="AAB77870"/>
    <w:rsid w:val="ABB79F31"/>
    <w:rsid w:val="ABDB09F4"/>
    <w:rsid w:val="ADF7198A"/>
    <w:rsid w:val="AEDF96FA"/>
    <w:rsid w:val="B6F9097E"/>
    <w:rsid w:val="B77FA827"/>
    <w:rsid w:val="B7BC8609"/>
    <w:rsid w:val="B7E7FED3"/>
    <w:rsid w:val="B7EECBBE"/>
    <w:rsid w:val="B9DE2A08"/>
    <w:rsid w:val="BADBFC01"/>
    <w:rsid w:val="BDF94A48"/>
    <w:rsid w:val="BDFF2131"/>
    <w:rsid w:val="BE9BB8A5"/>
    <w:rsid w:val="BEFF9D61"/>
    <w:rsid w:val="BF7F6555"/>
    <w:rsid w:val="BFD95782"/>
    <w:rsid w:val="BFDFE6F7"/>
    <w:rsid w:val="C1FB2E92"/>
    <w:rsid w:val="CD9F141D"/>
    <w:rsid w:val="D33F08CB"/>
    <w:rsid w:val="D7F9BBB8"/>
    <w:rsid w:val="D7FB5501"/>
    <w:rsid w:val="DB76FCEA"/>
    <w:rsid w:val="DDB8AE9C"/>
    <w:rsid w:val="DDC7F1C7"/>
    <w:rsid w:val="DE5CD0B4"/>
    <w:rsid w:val="DEB574C0"/>
    <w:rsid w:val="DF5EF206"/>
    <w:rsid w:val="DFEE1A41"/>
    <w:rsid w:val="E4D6B171"/>
    <w:rsid w:val="E7F71888"/>
    <w:rsid w:val="E7FD4197"/>
    <w:rsid w:val="E9CD36B5"/>
    <w:rsid w:val="EABD96D6"/>
    <w:rsid w:val="EBEF0299"/>
    <w:rsid w:val="EED58912"/>
    <w:rsid w:val="EF3DC6D9"/>
    <w:rsid w:val="EFCDB375"/>
    <w:rsid w:val="EFE70C54"/>
    <w:rsid w:val="EFF95983"/>
    <w:rsid w:val="EFFF6BF9"/>
    <w:rsid w:val="F0FF611E"/>
    <w:rsid w:val="F2F9C0B8"/>
    <w:rsid w:val="F3E58846"/>
    <w:rsid w:val="F4E6B735"/>
    <w:rsid w:val="F53F602B"/>
    <w:rsid w:val="F7DDA3C1"/>
    <w:rsid w:val="F7E9F212"/>
    <w:rsid w:val="F7FFC9F3"/>
    <w:rsid w:val="FA9B081B"/>
    <w:rsid w:val="FBD9C8D6"/>
    <w:rsid w:val="FBDF0488"/>
    <w:rsid w:val="FBFCC1D3"/>
    <w:rsid w:val="FCBDBC4F"/>
    <w:rsid w:val="FD7A8197"/>
    <w:rsid w:val="FEB9D9E7"/>
    <w:rsid w:val="FEDFB7BE"/>
    <w:rsid w:val="FEDFBB2E"/>
    <w:rsid w:val="FEFA5DAB"/>
    <w:rsid w:val="FF3D962B"/>
    <w:rsid w:val="FF4F3287"/>
    <w:rsid w:val="FF7F4081"/>
    <w:rsid w:val="FF7FBDD9"/>
    <w:rsid w:val="FF9D1844"/>
    <w:rsid w:val="FFAFA4A9"/>
    <w:rsid w:val="FFEB7C0D"/>
    <w:rsid w:val="FFF741D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ody Text"/>
    <w:basedOn w:val="1"/>
    <w:next w:val="1"/>
    <w:qFormat/>
    <w:uiPriority w:val="0"/>
    <w:rPr>
      <w:sz w:val="44"/>
    </w:rPr>
  </w:style>
  <w:style w:type="paragraph" w:styleId="3">
    <w:name w:val="Balloon Text"/>
    <w:basedOn w:val="1"/>
    <w:semiHidden/>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paragraph" w:customStyle="1" w:styleId="9">
    <w:name w:val="Char"/>
    <w:basedOn w:val="1"/>
    <w:qFormat/>
    <w:uiPriority w:val="0"/>
    <w:pPr>
      <w:widowControl/>
      <w:jc w:val="left"/>
    </w:pPr>
    <w:rPr>
      <w:rFonts w:ascii="Verdana" w:hAnsi="Verdana" w:eastAsia="仿宋_GB2312"/>
      <w:kern w:val="0"/>
      <w:sz w:val="28"/>
      <w:szCs w:val="20"/>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Lenovo (Beijing) Limited</Company>
  <Pages>14</Pages>
  <Words>4451</Words>
  <Characters>4625</Characters>
  <Lines>22</Lines>
  <Paragraphs>6</Paragraphs>
  <TotalTime>19</TotalTime>
  <ScaleCrop>false</ScaleCrop>
  <LinksUpToDate>false</LinksUpToDate>
  <CharactersWithSpaces>4693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2017-02-25T17:02:00Z</dcterms:created>
  <dc:creator>预算处(税政处、编审中心)-王威</dc:creator>
  <cp:lastModifiedBy>叶子</cp:lastModifiedBy>
  <cp:lastPrinted>2025-02-13T06:59:00Z</cp:lastPrinted>
  <dcterms:modified xsi:type="dcterms:W3CDTF">2026-04-24T01:24:27Z</dcterms:modified>
  <dc:title>辽宁省财政厅部门预算</dc:title>
  <cp:revision>217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eyJoZGlkIjoiOTRiZTIzNmRkNDA0MjE5MTFkZGViZDIwODM0NjE0MzciLCJ1c2VySWQiOiIyNzcwODYwOTAifQ==</vt:lpwstr>
  </property>
  <property fmtid="{D5CDD505-2E9C-101B-9397-08002B2CF9AE}" pid="4" name="ICV">
    <vt:lpwstr>A2733D08D65C4E40802905194AC41463_12</vt:lpwstr>
  </property>
</Properties>
</file>